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仿宋" w:hAnsi="仿宋" w:eastAsia="仿宋" w:cs="宋体"/>
          <w:color w:val="333333"/>
          <w:kern w:val="0"/>
          <w:sz w:val="24"/>
          <w:szCs w:val="24"/>
          <w:lang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附件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3</w:t>
      </w:r>
      <w:r>
        <w:rPr>
          <w:rFonts w:ascii="仿宋" w:hAnsi="仿宋" w:eastAsia="仿宋" w:cs="宋体"/>
          <w:color w:val="333333"/>
          <w:kern w:val="0"/>
          <w:sz w:val="24"/>
          <w:szCs w:val="24"/>
        </w:rPr>
        <w:t>-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3</w:t>
      </w:r>
      <w:bookmarkStart w:id="0" w:name="_GoBack"/>
      <w:bookmarkEnd w:id="0"/>
    </w:p>
    <w:p>
      <w:pPr>
        <w:jc w:val="center"/>
        <w:rPr>
          <w:rFonts w:hint="eastAsia" w:eastAsia="黑体"/>
          <w:lang w:eastAsia="zh-CN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</w:rPr>
        <w:t>三江学院教学能力竞赛评价指标表</w:t>
      </w:r>
      <w:r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  <w:lang w:val="en-US" w:eastAsia="zh-CN"/>
        </w:rPr>
        <w:t>新工科、新文科组</w:t>
      </w:r>
      <w:r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  <w:lang w:eastAsia="zh-CN"/>
        </w:rPr>
        <w:t>）</w:t>
      </w:r>
    </w:p>
    <w:tbl>
      <w:tblPr>
        <w:tblStyle w:val="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2268"/>
        <w:gridCol w:w="2268"/>
        <w:gridCol w:w="2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评价维度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教学理念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教学理念体现</w:t>
            </w:r>
            <w:r>
              <w:rPr>
                <w:rFonts w:hint="cs" w:ascii="仿宋" w:hAnsi="仿宋" w:eastAsia="仿宋"/>
                <w:szCs w:val="21"/>
              </w:rPr>
              <w:t>“</w:t>
            </w:r>
            <w:r>
              <w:rPr>
                <w:rFonts w:hint="eastAsia" w:ascii="仿宋" w:hAnsi="仿宋" w:eastAsia="仿宋"/>
                <w:szCs w:val="21"/>
              </w:rPr>
              <w:t>学生中心</w:t>
            </w:r>
            <w:r>
              <w:rPr>
                <w:rFonts w:hint="cs" w:ascii="仿宋" w:hAnsi="仿宋" w:eastAsia="仿宋"/>
                <w:szCs w:val="21"/>
              </w:rPr>
              <w:t>”</w:t>
            </w:r>
            <w:r>
              <w:rPr>
                <w:rFonts w:hint="eastAsia" w:ascii="仿宋" w:hAnsi="仿宋" w:eastAsia="仿宋"/>
                <w:szCs w:val="21"/>
              </w:rPr>
              <w:t>教育理念，体现立德树人思想，符合学科特色与课程要求。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课程思政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结合所授课程特点、思维方法和价值理念，深挖课程思政元素，有机融入课程教学。将价值塑造、知识传授和能力培养融为一体，显性教育与隐性教育相统一，实现</w:t>
            </w:r>
            <w:r>
              <w:rPr>
                <w:rFonts w:hint="cs" w:ascii="仿宋" w:hAnsi="仿宋" w:eastAsia="仿宋"/>
                <w:szCs w:val="21"/>
              </w:rPr>
              <w:t>“</w:t>
            </w:r>
            <w:r>
              <w:rPr>
                <w:rFonts w:hint="eastAsia" w:ascii="仿宋" w:hAnsi="仿宋" w:eastAsia="仿宋"/>
                <w:szCs w:val="21"/>
              </w:rPr>
              <w:t>三全育人</w:t>
            </w:r>
            <w:r>
              <w:rPr>
                <w:rFonts w:hint="cs" w:ascii="仿宋" w:hAnsi="仿宋" w:eastAsia="仿宋"/>
                <w:szCs w:val="21"/>
              </w:rPr>
              <w:t>”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教学内容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课程内容体现高阶性、</w:t>
            </w:r>
            <w:r>
              <w:rPr>
                <w:rFonts w:ascii="仿宋" w:hAnsi="仿宋" w:eastAsia="仿宋"/>
                <w:szCs w:val="21"/>
              </w:rPr>
              <w:t>创新性、挑战度。反映学科前沿，渗</w:t>
            </w:r>
            <w:r>
              <w:rPr>
                <w:rFonts w:hint="eastAsia" w:ascii="仿宋" w:hAnsi="仿宋" w:eastAsia="仿宋"/>
                <w:szCs w:val="21"/>
              </w:rPr>
              <w:t>透专业思想，</w:t>
            </w:r>
            <w:r>
              <w:rPr>
                <w:rFonts w:ascii="仿宋" w:hAnsi="仿宋" w:eastAsia="仿宋"/>
                <w:szCs w:val="21"/>
              </w:rPr>
              <w:t>使用优质教学资源。</w:t>
            </w:r>
            <w:r>
              <w:rPr>
                <w:rFonts w:hint="eastAsia" w:ascii="仿宋" w:hAnsi="仿宋" w:eastAsia="仿宋"/>
                <w:szCs w:val="21"/>
              </w:rPr>
              <w:t>教学内容满足行业与社会需求，教学重、难点处理恰当，关注学生已有知识和经验，教学内容具有科学性。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教学方法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根据课程特点，</w:t>
            </w:r>
            <w:r>
              <w:rPr>
                <w:rFonts w:ascii="仿宋" w:hAnsi="仿宋" w:eastAsia="仿宋"/>
                <w:szCs w:val="21"/>
              </w:rPr>
              <w:t>采用灵活多样的教学方法，解决课堂教学中</w:t>
            </w:r>
            <w:r>
              <w:rPr>
                <w:rFonts w:hint="eastAsia" w:ascii="仿宋" w:hAnsi="仿宋" w:eastAsia="仿宋"/>
                <w:szCs w:val="21"/>
              </w:rPr>
              <w:t>影响学生学习的切实问题。</w:t>
            </w:r>
            <w:r>
              <w:rPr>
                <w:rFonts w:ascii="仿宋" w:hAnsi="仿宋" w:eastAsia="仿宋"/>
                <w:szCs w:val="21"/>
              </w:rPr>
              <w:t>强化师生和生生互动，教学活动</w:t>
            </w:r>
            <w:r>
              <w:rPr>
                <w:rFonts w:hint="eastAsia" w:ascii="仿宋" w:hAnsi="仿宋" w:eastAsia="仿宋"/>
                <w:szCs w:val="21"/>
              </w:rPr>
              <w:t>应循序渐进，</w:t>
            </w:r>
            <w:r>
              <w:rPr>
                <w:rFonts w:ascii="仿宋" w:hAnsi="仿宋" w:eastAsia="仿宋"/>
                <w:szCs w:val="21"/>
              </w:rPr>
              <w:t>启发性强，能有效调动学生思维和学习积极性。</w:t>
            </w:r>
            <w:r>
              <w:rPr>
                <w:rFonts w:hint="eastAsia" w:ascii="仿宋" w:hAnsi="仿宋" w:eastAsia="仿宋"/>
                <w:szCs w:val="21"/>
              </w:rPr>
              <w:t>以信息技术创设教学环境，支持教学创新。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</w:t>
            </w:r>
            <w:r>
              <w:rPr>
                <w:rFonts w:ascii="仿宋" w:hAnsi="仿宋" w:eastAsia="仿宋"/>
                <w:szCs w:val="21"/>
              </w:rPr>
              <w:t>评价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过程性评价与终结性评价相结合，</w:t>
            </w:r>
            <w:r>
              <w:rPr>
                <w:rFonts w:ascii="仿宋" w:hAnsi="仿宋" w:eastAsia="仿宋"/>
                <w:szCs w:val="21"/>
              </w:rPr>
              <w:t>以促成学生进步为出发点</w:t>
            </w:r>
            <w:r>
              <w:rPr>
                <w:rFonts w:hint="eastAsia" w:ascii="仿宋" w:hAnsi="仿宋" w:eastAsia="仿宋"/>
                <w:szCs w:val="21"/>
              </w:rPr>
              <w:t>设计多元的评价方式，</w:t>
            </w:r>
            <w:r>
              <w:rPr>
                <w:rFonts w:ascii="仿宋" w:hAnsi="仿宋" w:eastAsia="仿宋"/>
                <w:szCs w:val="21"/>
              </w:rPr>
              <w:t>且给与及时反馈。提供清晰合理的评</w:t>
            </w:r>
            <w:r>
              <w:rPr>
                <w:rFonts w:hint="eastAsia" w:ascii="仿宋" w:hAnsi="仿宋" w:eastAsia="仿宋"/>
                <w:szCs w:val="21"/>
              </w:rPr>
              <w:t>价规则和标准，</w:t>
            </w:r>
            <w:r>
              <w:rPr>
                <w:rFonts w:ascii="仿宋" w:hAnsi="仿宋" w:eastAsia="仿宋"/>
                <w:szCs w:val="21"/>
              </w:rPr>
              <w:t>积极创造学生自我评价和同伴互评的机会。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教学效果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课堂讲授富有吸引力，课堂气氛融洽，学生思维活跃，深度参与课堂。学生知识、能力与思维得到发展，实现教学目标的达成，并形成具有较强辐射推广价值的教学新方法、</w:t>
            </w:r>
            <w:r>
              <w:rPr>
                <w:rFonts w:ascii="仿宋" w:hAnsi="仿宋" w:eastAsia="仿宋"/>
                <w:szCs w:val="21"/>
              </w:rPr>
              <w:t>新模式。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语言教态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语言清晰、</w:t>
            </w:r>
            <w:r>
              <w:rPr>
                <w:rFonts w:ascii="仿宋" w:hAnsi="仿宋" w:eastAsia="仿宋"/>
                <w:szCs w:val="21"/>
              </w:rPr>
              <w:t>流畅、准确、生动，语速节奏恰当。肢体语言运</w:t>
            </w:r>
            <w:r>
              <w:rPr>
                <w:rFonts w:hint="eastAsia" w:ascii="仿宋" w:hAnsi="仿宋" w:eastAsia="仿宋"/>
                <w:szCs w:val="21"/>
              </w:rPr>
              <w:t>用合理、</w:t>
            </w:r>
            <w:r>
              <w:rPr>
                <w:rFonts w:ascii="仿宋" w:hAnsi="仿宋" w:eastAsia="仿宋"/>
                <w:szCs w:val="21"/>
              </w:rPr>
              <w:t>恰当。教态仪表自然得体，教学风格突出、教学效</w:t>
            </w:r>
            <w:r>
              <w:rPr>
                <w:rFonts w:hint="eastAsia" w:ascii="仿宋" w:hAnsi="仿宋" w:eastAsia="仿宋"/>
                <w:szCs w:val="21"/>
              </w:rPr>
              <w:t>果好。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00" w:type="dxa"/>
            <w:gridSpan w:val="4"/>
            <w:vAlign w:val="center"/>
          </w:tcPr>
          <w:p>
            <w:pPr>
              <w:spacing w:line="360" w:lineRule="auto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说课得分=以上</w:t>
            </w:r>
            <w:r>
              <w:rPr>
                <w:rFonts w:ascii="仿宋" w:hAnsi="仿宋" w:eastAsia="仿宋"/>
                <w:szCs w:val="21"/>
              </w:rPr>
              <w:t>7</w:t>
            </w:r>
            <w:r>
              <w:rPr>
                <w:rFonts w:hint="eastAsia" w:ascii="仿宋" w:hAnsi="仿宋" w:eastAsia="仿宋"/>
                <w:szCs w:val="21"/>
              </w:rPr>
              <w:t>项得分之和×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Cs w:val="21"/>
              </w:rPr>
              <w:t xml:space="preserve">0%     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教学演示得分=以上</w:t>
            </w:r>
            <w:r>
              <w:rPr>
                <w:rFonts w:ascii="仿宋" w:hAnsi="仿宋" w:eastAsia="仿宋"/>
                <w:szCs w:val="21"/>
              </w:rPr>
              <w:t>7</w:t>
            </w:r>
            <w:r>
              <w:rPr>
                <w:rFonts w:hint="eastAsia" w:ascii="仿宋" w:hAnsi="仿宋" w:eastAsia="仿宋"/>
                <w:szCs w:val="21"/>
              </w:rPr>
              <w:t>项得分之和×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/>
                <w:szCs w:val="21"/>
              </w:rPr>
              <w:t>0%</w:t>
            </w:r>
          </w:p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日常</w:t>
            </w:r>
            <w:r>
              <w:rPr>
                <w:rFonts w:ascii="仿宋" w:hAnsi="仿宋" w:eastAsia="仿宋"/>
                <w:szCs w:val="21"/>
              </w:rPr>
              <w:t>教学</w:t>
            </w:r>
            <w:r>
              <w:rPr>
                <w:rFonts w:hint="eastAsia" w:ascii="仿宋" w:hAnsi="仿宋" w:eastAsia="仿宋"/>
                <w:szCs w:val="21"/>
              </w:rPr>
              <w:t>得分=日常教学评价得分之和×1</w:t>
            </w:r>
            <w:r>
              <w:rPr>
                <w:rFonts w:ascii="仿宋" w:hAnsi="仿宋" w:eastAsia="仿宋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3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分值</w:t>
            </w:r>
          </w:p>
        </w:tc>
        <w:tc>
          <w:tcPr>
            <w:tcW w:w="2268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说课（总分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Cs w:val="21"/>
              </w:rPr>
              <w:t>0</w:t>
            </w:r>
            <w:r>
              <w:rPr>
                <w:rFonts w:hint="eastAsia" w:ascii="仿宋" w:hAnsi="仿宋" w:eastAsia="仿宋"/>
                <w:szCs w:val="21"/>
              </w:rPr>
              <w:t>分）</w:t>
            </w:r>
          </w:p>
        </w:tc>
        <w:tc>
          <w:tcPr>
            <w:tcW w:w="2268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教学演示（总分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/>
                <w:szCs w:val="21"/>
              </w:rPr>
              <w:t>0</w:t>
            </w:r>
            <w:r>
              <w:rPr>
                <w:rFonts w:hint="eastAsia" w:ascii="仿宋" w:hAnsi="仿宋" w:eastAsia="仿宋"/>
                <w:szCs w:val="21"/>
              </w:rPr>
              <w:t>分）</w:t>
            </w:r>
          </w:p>
        </w:tc>
        <w:tc>
          <w:tcPr>
            <w:tcW w:w="2591" w:type="dxa"/>
          </w:tcPr>
          <w:p>
            <w:pPr>
              <w:spacing w:line="360" w:lineRule="auto"/>
              <w:ind w:firstLine="315" w:firstLineChars="15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日常</w:t>
            </w:r>
            <w:r>
              <w:rPr>
                <w:rFonts w:ascii="仿宋" w:hAnsi="仿宋" w:eastAsia="仿宋"/>
                <w:szCs w:val="21"/>
              </w:rPr>
              <w:t>教学</w:t>
            </w:r>
            <w:r>
              <w:rPr>
                <w:rFonts w:hint="eastAsia" w:ascii="仿宋" w:hAnsi="仿宋" w:eastAsia="仿宋"/>
                <w:szCs w:val="21"/>
              </w:rPr>
              <w:t>（总分1</w:t>
            </w:r>
            <w:r>
              <w:rPr>
                <w:rFonts w:ascii="仿宋" w:hAnsi="仿宋" w:eastAsia="仿宋"/>
                <w:szCs w:val="21"/>
              </w:rPr>
              <w:t>0</w:t>
            </w:r>
            <w:r>
              <w:rPr>
                <w:rFonts w:hint="eastAsia" w:ascii="仿宋" w:hAnsi="仿宋" w:eastAsia="仿宋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3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得分</w:t>
            </w:r>
          </w:p>
        </w:tc>
        <w:tc>
          <w:tcPr>
            <w:tcW w:w="2268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591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3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总分</w:t>
            </w:r>
          </w:p>
        </w:tc>
        <w:tc>
          <w:tcPr>
            <w:tcW w:w="7127" w:type="dxa"/>
            <w:gridSpan w:val="3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jc w:val="center"/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</w:rPr>
      </w:pPr>
    </w:p>
    <w:p>
      <w:pPr>
        <w:jc w:val="center"/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</w:rPr>
      </w:pPr>
    </w:p>
    <w:p>
      <w:pPr>
        <w:jc w:val="center"/>
        <w:rPr>
          <w:rFonts w:hint="eastAsia" w:eastAsia="黑体"/>
          <w:lang w:eastAsia="zh-CN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</w:rPr>
        <w:t>三江学院教学能力竞赛评价指标表</w:t>
      </w:r>
      <w:r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  <w:lang w:val="en-US" w:eastAsia="zh-CN"/>
        </w:rPr>
        <w:t>产教融合组</w:t>
      </w:r>
      <w:r>
        <w:rPr>
          <w:rFonts w:hint="eastAsia" w:ascii="黑体" w:hAnsi="黑体" w:eastAsia="黑体" w:cs="宋体"/>
          <w:b/>
          <w:bCs/>
          <w:color w:val="333333"/>
          <w:kern w:val="0"/>
          <w:sz w:val="30"/>
          <w:szCs w:val="30"/>
          <w:lang w:eastAsia="zh-CN"/>
        </w:rPr>
        <w:t>）</w:t>
      </w:r>
    </w:p>
    <w:tbl>
      <w:tblPr>
        <w:tblStyle w:val="5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2268"/>
        <w:gridCol w:w="2268"/>
        <w:gridCol w:w="25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评价维度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教学理念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体现“以学生发展为中心”教育理念，符合专业特色与课程要求;在深化产教融合中推进教育教学创新，提高人才培养的质量，服务区域经济社会发展，促进教育链、人才链与产业链、创新链有机衔接。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课程思政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结合所授课程特点、思维方法和价值理念，深挖课程思政元素，有机融入课程教学。将价值塑造、知识传授和能力培养融为一体，显性教育与隐性教育相统一，实现</w:t>
            </w:r>
            <w:r>
              <w:rPr>
                <w:rFonts w:hint="cs" w:ascii="仿宋" w:hAnsi="仿宋" w:eastAsia="仿宋"/>
                <w:szCs w:val="21"/>
              </w:rPr>
              <w:t>“</w:t>
            </w:r>
            <w:r>
              <w:rPr>
                <w:rFonts w:hint="eastAsia" w:ascii="仿宋" w:hAnsi="仿宋" w:eastAsia="仿宋"/>
                <w:szCs w:val="21"/>
              </w:rPr>
              <w:t>三全育人</w:t>
            </w:r>
            <w:r>
              <w:rPr>
                <w:rFonts w:hint="cs" w:ascii="仿宋" w:hAnsi="仿宋" w:eastAsia="仿宋"/>
                <w:szCs w:val="21"/>
              </w:rPr>
              <w:t>”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教学内容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将教学内容与行业企业、实务部门等实际工作和需求紧密融合，将生产现场转化为教学课堂，将政产学研的创新理念、机制体制和重大科研成果转化为课程教学案例。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教学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过程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体现教师主导、学生主体、行业企业参与，聘请行业企业优秀专业技术人才、管理人才和高技能人才等参与教学。以解决社会和行业企业实际问题为导向，充分利用产教融合校企合作平台，采用项目式、任务式等方式方法，将专业知识与生产过程和行业标准等相对接，启发学生思考，培养学生在真实生产环境中解决复杂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</w:t>
            </w:r>
            <w:r>
              <w:rPr>
                <w:rFonts w:ascii="仿宋" w:hAnsi="仿宋" w:eastAsia="仿宋"/>
                <w:szCs w:val="21"/>
              </w:rPr>
              <w:t>评价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评价方法和主体多元，行业企业参与评价，过程性评价和终结性评价相结合，学生知识、能力和思维发展得到合理有效评价。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教学效果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课程讲授富有吸引力，互动气氛融洽，学生思维活跃，能够了解领域和行业的最新动态和实际情况，创新实践能力增强，学生素质、知识和能力全面提高。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语言教态</w:t>
            </w:r>
          </w:p>
        </w:tc>
        <w:tc>
          <w:tcPr>
            <w:tcW w:w="7127" w:type="dxa"/>
            <w:gridSpan w:val="3"/>
            <w:vAlign w:val="center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语言清晰、</w:t>
            </w:r>
            <w:r>
              <w:rPr>
                <w:rFonts w:ascii="仿宋" w:hAnsi="仿宋" w:eastAsia="仿宋"/>
                <w:szCs w:val="21"/>
              </w:rPr>
              <w:t>流畅、准确、生动，语速节奏恰当。肢体语言运</w:t>
            </w:r>
            <w:r>
              <w:rPr>
                <w:rFonts w:hint="eastAsia" w:ascii="仿宋" w:hAnsi="仿宋" w:eastAsia="仿宋"/>
                <w:szCs w:val="21"/>
              </w:rPr>
              <w:t>用合理、</w:t>
            </w:r>
            <w:r>
              <w:rPr>
                <w:rFonts w:ascii="仿宋" w:hAnsi="仿宋" w:eastAsia="仿宋"/>
                <w:szCs w:val="21"/>
              </w:rPr>
              <w:t>恰当。教态仪表自然得体，教学风格突出、教学效</w:t>
            </w:r>
            <w:r>
              <w:rPr>
                <w:rFonts w:hint="eastAsia" w:ascii="仿宋" w:hAnsi="仿宋" w:eastAsia="仿宋"/>
                <w:szCs w:val="21"/>
              </w:rPr>
              <w:t>果好。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500" w:type="dxa"/>
            <w:gridSpan w:val="4"/>
            <w:vAlign w:val="center"/>
          </w:tcPr>
          <w:p>
            <w:pPr>
              <w:spacing w:line="360" w:lineRule="auto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说课得分=以上</w:t>
            </w:r>
            <w:r>
              <w:rPr>
                <w:rFonts w:ascii="仿宋" w:hAnsi="仿宋" w:eastAsia="仿宋"/>
                <w:szCs w:val="21"/>
              </w:rPr>
              <w:t>7</w:t>
            </w:r>
            <w:r>
              <w:rPr>
                <w:rFonts w:hint="eastAsia" w:ascii="仿宋" w:hAnsi="仿宋" w:eastAsia="仿宋"/>
                <w:szCs w:val="21"/>
              </w:rPr>
              <w:t>项得分之和×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Cs w:val="21"/>
              </w:rPr>
              <w:t xml:space="preserve">0%    </w:t>
            </w:r>
            <w:r>
              <w:rPr>
                <w:rFonts w:hint="eastAsia" w:ascii="仿宋" w:hAnsi="仿宋" w:eastAsia="仿宋"/>
                <w:szCs w:val="21"/>
              </w:rPr>
              <w:t>教学演示得分=以上</w:t>
            </w:r>
            <w:r>
              <w:rPr>
                <w:rFonts w:ascii="仿宋" w:hAnsi="仿宋" w:eastAsia="仿宋"/>
                <w:szCs w:val="21"/>
              </w:rPr>
              <w:t>7</w:t>
            </w:r>
            <w:r>
              <w:rPr>
                <w:rFonts w:hint="eastAsia" w:ascii="仿宋" w:hAnsi="仿宋" w:eastAsia="仿宋"/>
                <w:szCs w:val="21"/>
              </w:rPr>
              <w:t>项得分之和×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/>
                <w:szCs w:val="21"/>
              </w:rPr>
              <w:t>0%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仿宋" w:hAnsi="仿宋" w:eastAsia="仿宋"/>
                <w:szCs w:val="21"/>
              </w:rPr>
              <w:t>日常</w:t>
            </w:r>
            <w:r>
              <w:rPr>
                <w:rFonts w:ascii="仿宋" w:hAnsi="仿宋" w:eastAsia="仿宋"/>
                <w:szCs w:val="21"/>
              </w:rPr>
              <w:t>教学</w:t>
            </w:r>
            <w:r>
              <w:rPr>
                <w:rFonts w:hint="eastAsia" w:ascii="仿宋" w:hAnsi="仿宋" w:eastAsia="仿宋"/>
                <w:szCs w:val="21"/>
              </w:rPr>
              <w:t>得分=日常教学评价得分之和×1</w:t>
            </w:r>
            <w:r>
              <w:rPr>
                <w:rFonts w:ascii="仿宋" w:hAnsi="仿宋" w:eastAsia="仿宋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3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分值</w:t>
            </w:r>
          </w:p>
        </w:tc>
        <w:tc>
          <w:tcPr>
            <w:tcW w:w="2268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说课（总分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</w:t>
            </w:r>
            <w:r>
              <w:rPr>
                <w:rFonts w:ascii="仿宋" w:hAnsi="仿宋" w:eastAsia="仿宋"/>
                <w:szCs w:val="21"/>
              </w:rPr>
              <w:t>0</w:t>
            </w:r>
            <w:r>
              <w:rPr>
                <w:rFonts w:hint="eastAsia" w:ascii="仿宋" w:hAnsi="仿宋" w:eastAsia="仿宋"/>
                <w:szCs w:val="21"/>
              </w:rPr>
              <w:t>分）</w:t>
            </w:r>
          </w:p>
        </w:tc>
        <w:tc>
          <w:tcPr>
            <w:tcW w:w="2268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教学演示（总分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/>
                <w:szCs w:val="21"/>
              </w:rPr>
              <w:t>0</w:t>
            </w:r>
            <w:r>
              <w:rPr>
                <w:rFonts w:hint="eastAsia" w:ascii="仿宋" w:hAnsi="仿宋" w:eastAsia="仿宋"/>
                <w:szCs w:val="21"/>
              </w:rPr>
              <w:t>分）</w:t>
            </w:r>
          </w:p>
        </w:tc>
        <w:tc>
          <w:tcPr>
            <w:tcW w:w="2591" w:type="dxa"/>
          </w:tcPr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日常</w:t>
            </w:r>
            <w:r>
              <w:rPr>
                <w:rFonts w:ascii="仿宋" w:hAnsi="仿宋" w:eastAsia="仿宋"/>
                <w:szCs w:val="21"/>
              </w:rPr>
              <w:t>教学</w:t>
            </w:r>
            <w:r>
              <w:rPr>
                <w:rFonts w:hint="eastAsia" w:ascii="仿宋" w:hAnsi="仿宋" w:eastAsia="仿宋"/>
                <w:szCs w:val="21"/>
              </w:rPr>
              <w:t>（总分1</w:t>
            </w:r>
            <w:r>
              <w:rPr>
                <w:rFonts w:ascii="仿宋" w:hAnsi="仿宋" w:eastAsia="仿宋"/>
                <w:szCs w:val="21"/>
              </w:rPr>
              <w:t>0</w:t>
            </w:r>
            <w:r>
              <w:rPr>
                <w:rFonts w:hint="eastAsia" w:ascii="仿宋" w:hAnsi="仿宋" w:eastAsia="仿宋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3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得分</w:t>
            </w:r>
          </w:p>
        </w:tc>
        <w:tc>
          <w:tcPr>
            <w:tcW w:w="2268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268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2591" w:type="dxa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3" w:type="dxa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总分</w:t>
            </w:r>
          </w:p>
        </w:tc>
        <w:tc>
          <w:tcPr>
            <w:tcW w:w="7127" w:type="dxa"/>
            <w:gridSpan w:val="3"/>
          </w:tcPr>
          <w:p>
            <w:pPr>
              <w:spacing w:line="360" w:lineRule="auto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6444706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4YzYwOGMxMTY2YmMxMzJiODMyNDdjOGJhZjc0M2YifQ=="/>
  </w:docVars>
  <w:rsids>
    <w:rsidRoot w:val="00C031EF"/>
    <w:rsid w:val="00033D69"/>
    <w:rsid w:val="00105307"/>
    <w:rsid w:val="001264A3"/>
    <w:rsid w:val="001C2F73"/>
    <w:rsid w:val="002E0FDF"/>
    <w:rsid w:val="00300691"/>
    <w:rsid w:val="00364589"/>
    <w:rsid w:val="00460D9B"/>
    <w:rsid w:val="004D6E6D"/>
    <w:rsid w:val="0052324C"/>
    <w:rsid w:val="005C0C9C"/>
    <w:rsid w:val="005D1689"/>
    <w:rsid w:val="006441BB"/>
    <w:rsid w:val="00667B62"/>
    <w:rsid w:val="00674629"/>
    <w:rsid w:val="006D690B"/>
    <w:rsid w:val="006F421F"/>
    <w:rsid w:val="0071474A"/>
    <w:rsid w:val="007D3795"/>
    <w:rsid w:val="008C098E"/>
    <w:rsid w:val="0098134A"/>
    <w:rsid w:val="00B2023D"/>
    <w:rsid w:val="00B4752A"/>
    <w:rsid w:val="00C031EF"/>
    <w:rsid w:val="00D27A55"/>
    <w:rsid w:val="00D54A95"/>
    <w:rsid w:val="00ED1CDD"/>
    <w:rsid w:val="00F11FAC"/>
    <w:rsid w:val="0D665BEB"/>
    <w:rsid w:val="23107238"/>
    <w:rsid w:val="6895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customStyle="1" w:styleId="9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106</Words>
  <Characters>608</Characters>
  <Lines>5</Lines>
  <Paragraphs>1</Paragraphs>
  <TotalTime>4</TotalTime>
  <ScaleCrop>false</ScaleCrop>
  <LinksUpToDate>false</LinksUpToDate>
  <CharactersWithSpaces>713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2022-01-27T12:39:00Z</dcterms:created>
  <dc:creator>听 听</dc:creator>
  <cp:lastModifiedBy>Happy </cp:lastModifiedBy>
  <dcterms:modified xsi:type="dcterms:W3CDTF">2024-02-24T03:28:00Z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B86D2F94DE9543C7B93943003F64320C_12</vt:lpwstr>
  </property>
</Properties>
</file>