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00" w:lineRule="auto"/>
        <w:ind w:left="420" w:leftChars="200"/>
        <w:jc w:val="center"/>
        <w:rPr>
          <w:rFonts w:ascii="宋体" w:hAnsi="宋体"/>
          <w:b w:val="0"/>
          <w:color w:val="FF0000"/>
          <w:spacing w:val="-4"/>
          <w:w w:val="83"/>
          <w:sz w:val="110"/>
          <w:szCs w:val="110"/>
        </w:rPr>
      </w:pPr>
      <w:r>
        <w:rPr>
          <w:rFonts w:ascii="宋体" w:hAnsi="宋体"/>
          <w:b w:val="0"/>
          <w:color w:val="FF0000"/>
          <w:spacing w:val="-4"/>
          <w:w w:val="83"/>
          <w:sz w:val="110"/>
          <w:szCs w:val="110"/>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1981200</wp:posOffset>
                </wp:positionV>
                <wp:extent cx="5819775" cy="0"/>
                <wp:effectExtent l="3175" t="0" r="0" b="1270"/>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a:noFill/>
                        </a:ln>
                      </wps:spPr>
                      <wps:bodyPr/>
                    </wps:wsp>
                  </a:graphicData>
                </a:graphic>
              </wp:anchor>
            </w:drawing>
          </mc:Choice>
          <mc:Fallback>
            <w:pict>
              <v:line id="Line 2" o:spid="_x0000_s1026" o:spt="20" style="position:absolute;left:0pt;margin-top:156pt;height:0pt;width:458.25pt;mso-position-horizontal:center;z-index:251659264;mso-width-relative:page;mso-height-relative:page;" filled="f" stroked="f" coordsize="21600,21600" o:gfxdata="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mBAC3tcAAAAIAQAA&#10;DwAAAAAAAAABACAAAAAiAAAAZHJzL2Rvd25yZXYueG1sUEsBAhQAFAAAAAgAh07iQHEy9jqoAQAA&#10;YwMAAA4AAAAAAAAAAQAgAAAAJgEAAGRycy9lMm9Eb2MueG1sUEsFBgAAAAAGAAYAWQEAAEAFAAAA&#10;AA==&#10;">
                <v:fill on="f" focussize="0,0"/>
                <v:stroke on="f"/>
                <v:imagedata o:title=""/>
                <o:lock v:ext="edit" aspectratio="f"/>
              </v:line>
            </w:pict>
          </mc:Fallback>
        </mc:AlternateContent>
      </w:r>
      <w:r>
        <w:rPr>
          <w:rFonts w:hint="eastAsia" w:ascii="宋体" w:hAnsi="宋体"/>
          <w:b w:val="0"/>
          <w:color w:val="FF0000"/>
          <w:spacing w:val="-4"/>
          <w:w w:val="83"/>
          <w:sz w:val="110"/>
          <w:szCs w:val="110"/>
        </w:rPr>
        <w:t>三江学院教务处文件</w:t>
      </w:r>
    </w:p>
    <w:p>
      <w:pPr>
        <w:spacing w:line="300" w:lineRule="auto"/>
        <w:jc w:val="center"/>
        <w:rPr>
          <w:rFonts w:eastAsia="仿宋_GB2312"/>
          <w:sz w:val="32"/>
        </w:rPr>
      </w:pPr>
      <w:r>
        <w:rPr>
          <w:rFonts w:hint="eastAsia" w:eastAsia="仿宋_GB2312"/>
          <w:sz w:val="32"/>
        </w:rPr>
        <w:t>教字〔</w:t>
      </w:r>
      <w:r>
        <w:rPr>
          <w:rFonts w:eastAsia="仿宋_GB2312"/>
          <w:sz w:val="32"/>
        </w:rPr>
        <w:t>2</w:t>
      </w:r>
      <w:r>
        <w:rPr>
          <w:rFonts w:hint="eastAsia" w:eastAsia="仿宋_GB2312"/>
          <w:sz w:val="32"/>
        </w:rPr>
        <w:t>0</w:t>
      </w:r>
      <w:r>
        <w:rPr>
          <w:rFonts w:eastAsia="仿宋_GB2312"/>
          <w:sz w:val="32"/>
        </w:rPr>
        <w:t>2</w:t>
      </w:r>
      <w:r>
        <w:rPr>
          <w:rFonts w:hint="eastAsia" w:eastAsia="仿宋_GB2312"/>
          <w:sz w:val="32"/>
        </w:rPr>
        <w:t>1〕</w:t>
      </w:r>
      <w:r>
        <w:rPr>
          <w:rFonts w:hint="eastAsia" w:eastAsia="仿宋_GB2312"/>
          <w:sz w:val="32"/>
          <w:lang w:val="en-US" w:eastAsia="zh-CN"/>
        </w:rPr>
        <w:t>173</w:t>
      </w:r>
      <w:r>
        <w:rPr>
          <w:rFonts w:hint="eastAsia" w:eastAsia="仿宋_GB2312"/>
          <w:sz w:val="32"/>
        </w:rPr>
        <w:t>号</w:t>
      </w:r>
    </w:p>
    <w:p>
      <w:pPr>
        <w:spacing w:line="300" w:lineRule="auto"/>
        <w:rPr>
          <w:rFonts w:eastAsia="仿宋_GB2312"/>
          <w:color w:val="FF0000"/>
          <w:sz w:val="32"/>
          <w:u w:val="thick"/>
        </w:rPr>
      </w:pPr>
      <w:r>
        <w:rPr>
          <w:rFonts w:hint="eastAsia" w:eastAsia="仿宋_GB2312"/>
          <w:color w:val="FFFFFF"/>
          <w:sz w:val="32"/>
          <w:u w:val="thick"/>
        </w:rPr>
        <w:t xml:space="preserve"> </w:t>
      </w:r>
      <w:r>
        <w:rPr>
          <w:rFonts w:hint="eastAsia" w:eastAsia="仿宋_GB2312"/>
          <w:color w:val="FF0000"/>
          <w:sz w:val="32"/>
          <w:u w:val="thick"/>
        </w:rPr>
        <w:t xml:space="preserve">                                                       </w:t>
      </w:r>
    </w:p>
    <w:p>
      <w:pPr>
        <w:widowControl/>
        <w:spacing w:line="500" w:lineRule="exact"/>
        <w:jc w:val="center"/>
        <w:rPr>
          <w:rFonts w:ascii="宋体" w:hAnsi="宋体" w:cs="宋体"/>
          <w:b/>
          <w:color w:val="000000"/>
          <w:kern w:val="0"/>
          <w:sz w:val="44"/>
          <w:szCs w:val="44"/>
        </w:rPr>
      </w:pPr>
      <w:r>
        <w:rPr>
          <w:rFonts w:hint="eastAsia" w:ascii="宋体" w:hAnsi="宋体" w:cs="宋体"/>
          <w:b/>
          <w:color w:val="000000"/>
          <w:kern w:val="0"/>
          <w:sz w:val="44"/>
          <w:szCs w:val="44"/>
        </w:rPr>
        <w:t>关于开展三江学院第二批校级一流本科课程申报工作的通知</w:t>
      </w:r>
    </w:p>
    <w:p>
      <w:pPr>
        <w:widowControl/>
        <w:spacing w:line="500" w:lineRule="exact"/>
        <w:rPr>
          <w:rFonts w:ascii="仿宋" w:hAnsi="仿宋" w:eastAsia="仿宋" w:cs="仿宋"/>
          <w:kern w:val="0"/>
          <w:sz w:val="32"/>
          <w:szCs w:val="32"/>
        </w:rPr>
      </w:pPr>
      <w:r>
        <w:rPr>
          <w:rFonts w:hint="eastAsia" w:ascii="仿宋" w:hAnsi="仿宋" w:eastAsia="仿宋" w:cs="仿宋"/>
          <w:kern w:val="0"/>
          <w:sz w:val="32"/>
          <w:szCs w:val="32"/>
        </w:rPr>
        <w:t>各教学单位：</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根据《教育部关于一流本科课程建设的实施意见》的文件精神，</w:t>
      </w:r>
      <w:r>
        <w:rPr>
          <w:rFonts w:hint="eastAsia" w:ascii="仿宋" w:hAnsi="仿宋" w:eastAsia="仿宋" w:cs="仿宋"/>
          <w:color w:val="000000"/>
          <w:sz w:val="32"/>
          <w:szCs w:val="32"/>
          <w:shd w:val="clear" w:color="auto" w:fill="FFFFFF"/>
        </w:rPr>
        <w:t>贯彻落实一流课程建设推进计划，推动学校课程建设的优化升级与规划布局，深入推进课堂教学改革，切实提高教学水平和教学质量，学校现启动</w:t>
      </w:r>
      <w:r>
        <w:rPr>
          <w:rFonts w:hint="eastAsia" w:eastAsia="仿宋"/>
          <w:color w:val="000000"/>
          <w:sz w:val="32"/>
          <w:szCs w:val="32"/>
          <w:shd w:val="clear" w:color="auto" w:fill="FFFFFF"/>
        </w:rPr>
        <w:t>第二批</w:t>
      </w:r>
      <w:r>
        <w:rPr>
          <w:rFonts w:hint="eastAsia" w:ascii="仿宋" w:hAnsi="仿宋" w:eastAsia="仿宋" w:cs="仿宋"/>
          <w:color w:val="000000"/>
          <w:sz w:val="32"/>
          <w:szCs w:val="32"/>
          <w:shd w:val="clear" w:color="auto" w:fill="FFFFFF"/>
        </w:rPr>
        <w:t>校级一流本科课程申报工作，现将有关事宜通知如下：</w:t>
      </w:r>
      <w:r>
        <w:rPr>
          <w:rFonts w:hint="eastAsia" w:ascii="仿宋" w:hAnsi="仿宋" w:eastAsia="仿宋" w:cs="仿宋"/>
          <w:kern w:val="0"/>
          <w:sz w:val="32"/>
          <w:szCs w:val="32"/>
        </w:rPr>
        <w:t xml:space="preserve"> </w:t>
      </w:r>
    </w:p>
    <w:p>
      <w:pPr>
        <w:widowControl/>
        <w:spacing w:line="500" w:lineRule="exact"/>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一、申报类型</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（一）线上一流课程。须在提供面向高校和社会开放学习服务的公开课程平台开课。鼓励</w:t>
      </w:r>
      <w:r>
        <w:rPr>
          <w:rFonts w:eastAsia="仿宋"/>
          <w:kern w:val="0"/>
          <w:sz w:val="32"/>
          <w:szCs w:val="32"/>
        </w:rPr>
        <w:t>2016-2017</w:t>
      </w:r>
      <w:r>
        <w:rPr>
          <w:rFonts w:hint="eastAsia" w:ascii="仿宋" w:hAnsi="仿宋" w:eastAsia="仿宋" w:cs="仿宋"/>
          <w:kern w:val="0"/>
          <w:sz w:val="32"/>
          <w:szCs w:val="32"/>
        </w:rPr>
        <w:t>、</w:t>
      </w:r>
      <w:r>
        <w:rPr>
          <w:rFonts w:eastAsia="仿宋"/>
          <w:kern w:val="0"/>
          <w:sz w:val="32"/>
          <w:szCs w:val="32"/>
        </w:rPr>
        <w:t>2018-2019</w:t>
      </w:r>
      <w:r>
        <w:rPr>
          <w:rFonts w:hint="eastAsia" w:ascii="仿宋" w:hAnsi="仿宋" w:eastAsia="仿宋" w:cs="仿宋"/>
          <w:kern w:val="0"/>
          <w:sz w:val="32"/>
          <w:szCs w:val="32"/>
        </w:rPr>
        <w:t>年省级立项建设的本科高校在线开放课程申报。</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（二）线下一流课程。主要指以面授为主的课程，以提升学生综合能力为重点，重塑课程内容，创新教学方法，打破课堂沉默状态，焕发课堂生机活力，较好发挥课堂教学主阵地、主渠道、主战场作用。</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（三）线上线下混合式一流课程。主要指基于慕课、专属在线课程（</w:t>
      </w:r>
      <w:r>
        <w:rPr>
          <w:rFonts w:eastAsia="仿宋"/>
          <w:kern w:val="0"/>
          <w:sz w:val="32"/>
          <w:szCs w:val="32"/>
        </w:rPr>
        <w:t>SPOC</w:t>
      </w:r>
      <w:r>
        <w:rPr>
          <w:rFonts w:hint="eastAsia" w:ascii="仿宋" w:hAnsi="仿宋" w:eastAsia="仿宋" w:cs="仿宋"/>
          <w:kern w:val="0"/>
          <w:sz w:val="32"/>
          <w:szCs w:val="32"/>
        </w:rPr>
        <w:t>）或其他在线课程，运用适当的数字化教学工具，结合本校实际对校内课程进行改造，安排</w:t>
      </w:r>
      <w:r>
        <w:rPr>
          <w:rFonts w:eastAsia="仿宋"/>
          <w:kern w:val="0"/>
          <w:sz w:val="32"/>
          <w:szCs w:val="32"/>
        </w:rPr>
        <w:t>20%</w:t>
      </w:r>
      <w:r>
        <w:rPr>
          <w:rFonts w:hint="eastAsia" w:ascii="仿宋" w:hAnsi="仿宋" w:eastAsia="仿宋" w:cs="仿宋"/>
          <w:kern w:val="0"/>
          <w:sz w:val="32"/>
          <w:szCs w:val="32"/>
        </w:rPr>
        <w:t>—</w:t>
      </w:r>
      <w:r>
        <w:rPr>
          <w:rFonts w:eastAsia="仿宋"/>
          <w:kern w:val="0"/>
          <w:sz w:val="32"/>
          <w:szCs w:val="32"/>
        </w:rPr>
        <w:t>50%</w:t>
      </w:r>
      <w:r>
        <w:rPr>
          <w:rFonts w:hint="eastAsia" w:ascii="仿宋" w:hAnsi="仿宋" w:eastAsia="仿宋" w:cs="仿宋"/>
          <w:kern w:val="0"/>
          <w:sz w:val="32"/>
          <w:szCs w:val="32"/>
        </w:rPr>
        <w:t xml:space="preserve">的教学时间实施学生线上自主学习，与线下面授有机结合开展翻转课堂、混合式教学，打造在线课程与本校课堂教学相融合的混合式“金课”。 </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四）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w:t>
      </w:r>
      <w:r>
        <w:rPr>
          <w:rFonts w:eastAsia="仿宋"/>
          <w:kern w:val="0"/>
          <w:sz w:val="32"/>
          <w:szCs w:val="32"/>
        </w:rPr>
        <w:t>70%</w:t>
      </w:r>
      <w:r>
        <w:rPr>
          <w:rFonts w:hint="eastAsia" w:ascii="仿宋" w:hAnsi="仿宋" w:eastAsia="仿宋" w:cs="仿宋"/>
          <w:kern w:val="0"/>
          <w:sz w:val="32"/>
          <w:szCs w:val="32"/>
        </w:rPr>
        <w:t>以上学时深入基层，保证课程规范化和可持续发展。</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（五）虚拟仿真实验教学课程。推荐的虚拟仿真实验教学课程必须与省虚拟仿真实验教学共享平台对接、有共享应用数据支撑。</w:t>
      </w:r>
    </w:p>
    <w:p>
      <w:pPr>
        <w:widowControl/>
        <w:spacing w:line="500" w:lineRule="exact"/>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二、申报范围及允许条件</w:t>
      </w:r>
    </w:p>
    <w:p>
      <w:pPr>
        <w:spacing w:line="520" w:lineRule="exact"/>
        <w:ind w:firstLine="640" w:firstLineChars="200"/>
        <w:rPr>
          <w:rFonts w:ascii="黑体" w:hAnsi="黑体" w:eastAsia="黑体"/>
          <w:b/>
          <w:sz w:val="32"/>
          <w:szCs w:val="32"/>
        </w:rPr>
      </w:pPr>
      <w:r>
        <w:rPr>
          <w:rFonts w:hint="eastAsia" w:ascii="仿宋_GB2312" w:eastAsia="仿宋_GB2312"/>
          <w:sz w:val="32"/>
          <w:szCs w:val="32"/>
        </w:rPr>
        <w:t>我校已纳入人才培养方案且设置学分的本科课程，包括思想政治理论课、公共基础课、专业基础课、专业课以及通识课等独立设置的本科理论课程、实验课程和社会实践课程等。</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教学单位结合本单位前期工作部署及教师申报，对照条件推荐申报。线上一流课程优先从我校省级立项建设的本科高校在线开放课程及在省在线课程平台建设并运行的课程中推荐；线下一流课程、线上线下混合式一流课程优先从各教学单位培育建设的一流本科课程计划名单中推荐；社会实践课程根据各教学单位课程建设情况统筹推荐；虚拟仿真实验教学课程从校级立项建设的虚拟仿真实验教学项目中推荐。</w:t>
      </w:r>
    </w:p>
    <w:p>
      <w:pPr>
        <w:widowControl/>
        <w:spacing w:line="500" w:lineRule="exact"/>
        <w:ind w:firstLine="643" w:firstLineChars="200"/>
        <w:rPr>
          <w:rFonts w:ascii="仿宋" w:hAnsi="仿宋" w:eastAsia="仿宋" w:cs="仿宋"/>
          <w:b/>
          <w:bCs/>
          <w:kern w:val="0"/>
          <w:sz w:val="32"/>
          <w:szCs w:val="32"/>
        </w:rPr>
      </w:pPr>
      <w:r>
        <w:rPr>
          <w:rFonts w:hint="eastAsia" w:ascii="仿宋" w:hAnsi="仿宋" w:eastAsia="仿宋" w:cs="仿宋"/>
          <w:b/>
          <w:bCs/>
          <w:kern w:val="0"/>
          <w:sz w:val="32"/>
          <w:szCs w:val="32"/>
        </w:rPr>
        <w:t>三、申报要求</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（一）申报课程名称须与教务系统显示课程名称一致，</w:t>
      </w:r>
      <w:r>
        <w:rPr>
          <w:rFonts w:eastAsia="仿宋_GB2312"/>
          <w:sz w:val="32"/>
          <w:szCs w:val="32"/>
        </w:rPr>
        <w:t>申报课程须于202</w:t>
      </w:r>
      <w:r>
        <w:rPr>
          <w:rFonts w:hint="eastAsia" w:eastAsia="仿宋_GB2312"/>
          <w:sz w:val="32"/>
          <w:szCs w:val="32"/>
        </w:rPr>
        <w:t>2</w:t>
      </w:r>
      <w:r>
        <w:rPr>
          <w:rFonts w:eastAsia="仿宋_GB2312"/>
          <w:sz w:val="32"/>
          <w:szCs w:val="32"/>
        </w:rPr>
        <w:t>年</w:t>
      </w:r>
      <w:r>
        <w:rPr>
          <w:rFonts w:hint="eastAsia" w:eastAsia="仿宋_GB2312"/>
          <w:sz w:val="32"/>
          <w:szCs w:val="32"/>
          <w:lang w:val="en-US" w:eastAsia="zh-CN"/>
        </w:rPr>
        <w:t>2</w:t>
      </w:r>
      <w:r>
        <w:rPr>
          <w:rFonts w:eastAsia="仿宋_GB2312"/>
          <w:sz w:val="32"/>
          <w:szCs w:val="32"/>
        </w:rPr>
        <w:t>月</w:t>
      </w:r>
      <w:r>
        <w:rPr>
          <w:rFonts w:hint="eastAsia" w:eastAsia="仿宋_GB2312"/>
          <w:sz w:val="32"/>
          <w:szCs w:val="32"/>
          <w:lang w:val="en-US" w:eastAsia="zh-CN"/>
        </w:rPr>
        <w:t>28</w:t>
      </w:r>
      <w:r>
        <w:rPr>
          <w:rFonts w:eastAsia="仿宋_GB2312"/>
          <w:sz w:val="32"/>
          <w:szCs w:val="32"/>
        </w:rPr>
        <w:t>日前至少经过两个学期或两个教学周期的建设和完善，取得实质性改革成效，在同类课程中具有鲜明特色、良好的教学效果，且符合相关类型课程基本形态和特质要求，并承诺入选后将持续改进。此前参加过首批</w:t>
      </w:r>
      <w:r>
        <w:rPr>
          <w:rFonts w:hint="eastAsia" w:eastAsia="仿宋_GB2312"/>
          <w:sz w:val="32"/>
          <w:szCs w:val="32"/>
        </w:rPr>
        <w:t>省</w:t>
      </w:r>
      <w:r>
        <w:rPr>
          <w:rFonts w:eastAsia="仿宋_GB2312"/>
          <w:sz w:val="32"/>
          <w:szCs w:val="32"/>
        </w:rPr>
        <w:t>级一流本科课程推荐但未通过认定的课程，须进一步修改完善，在上次推荐之后至少经过一个完整教学周期的改革实践方可再次申报。在2020年春季学期，受新冠肺炎疫情影响而采用在线方式进行授课的线下课程、线上线下混合式课程，如符合教改设计理念并取得预期效果，可视为完成一个教学周期。</w:t>
      </w:r>
      <w:r>
        <w:rPr>
          <w:rFonts w:hint="eastAsia" w:ascii="仿宋_GB2312" w:eastAsia="仿宋_GB2312"/>
          <w:sz w:val="32"/>
          <w:szCs w:val="32"/>
        </w:rPr>
        <w:t>每门课程只能从四种课程类型中选择一类进行申报。</w:t>
      </w:r>
    </w:p>
    <w:p>
      <w:pPr>
        <w:adjustRightInd w:val="0"/>
        <w:snapToGrid w:val="0"/>
        <w:spacing w:line="560" w:lineRule="exact"/>
        <w:ind w:firstLine="640" w:firstLineChars="200"/>
        <w:rPr>
          <w:rFonts w:eastAsia="仿宋_GB2312"/>
          <w:sz w:val="32"/>
          <w:szCs w:val="32"/>
        </w:rPr>
      </w:pPr>
      <w:r>
        <w:rPr>
          <w:rFonts w:hint="eastAsia" w:ascii="仿宋_GB2312" w:eastAsia="仿宋_GB2312"/>
          <w:sz w:val="32"/>
          <w:szCs w:val="32"/>
        </w:rPr>
        <w:t>（二）</w:t>
      </w:r>
      <w:r>
        <w:rPr>
          <w:rFonts w:eastAsia="仿宋_GB2312"/>
          <w:sz w:val="32"/>
          <w:szCs w:val="32"/>
        </w:rPr>
        <w:t>课程可由主讲教师个人申报或团队负责人牵头申报。</w:t>
      </w:r>
      <w:r>
        <w:rPr>
          <w:rFonts w:hint="eastAsia" w:ascii="仿宋_GB2312" w:eastAsia="仿宋_GB2312"/>
          <w:sz w:val="32"/>
          <w:szCs w:val="32"/>
        </w:rPr>
        <w:t>课程负责人</w:t>
      </w:r>
      <w:r>
        <w:rPr>
          <w:rFonts w:eastAsia="仿宋_GB2312"/>
          <w:sz w:val="32"/>
          <w:szCs w:val="32"/>
        </w:rPr>
        <w:t>（或主讲教师）</w:t>
      </w:r>
      <w:r>
        <w:rPr>
          <w:rFonts w:hint="eastAsia" w:ascii="仿宋_GB2312" w:eastAsia="仿宋_GB2312"/>
          <w:sz w:val="32"/>
          <w:szCs w:val="32"/>
        </w:rPr>
        <w:t>须为我校正式聘用的教师，具有丰富的教学经验和较高学术造诣。</w:t>
      </w:r>
      <w:r>
        <w:rPr>
          <w:rFonts w:eastAsia="仿宋_GB2312"/>
          <w:sz w:val="32"/>
          <w:szCs w:val="32"/>
        </w:rPr>
        <w:t>团队主要成员一般为近5年内讲授该课程教师，没有师德师风问题，教学能力强，积极投入教学改革。虚拟仿真实验教学课程，必要的技术支持人员可作为团队主要成员。课程主讲教师、课程团队主要成员只能参与申报1门</w:t>
      </w:r>
      <w:r>
        <w:rPr>
          <w:rFonts w:hint="eastAsia" w:eastAsia="仿宋_GB2312"/>
          <w:sz w:val="32"/>
          <w:szCs w:val="32"/>
        </w:rPr>
        <w:t>第二批校</w:t>
      </w:r>
      <w:r>
        <w:rPr>
          <w:rFonts w:eastAsia="仿宋_GB2312"/>
          <w:sz w:val="32"/>
          <w:szCs w:val="32"/>
        </w:rPr>
        <w:t>级一流本科课程。</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（三）课程内容及申报材料无危害国家安全、涉密及其他不适宜公开传播的内容，思想导向正确，不存在思想性、科学性问题。</w:t>
      </w:r>
    </w:p>
    <w:p>
      <w:pPr>
        <w:adjustRightInd w:val="0"/>
        <w:snapToGrid w:val="0"/>
        <w:spacing w:line="560" w:lineRule="exact"/>
        <w:ind w:firstLine="640" w:firstLineChars="200"/>
        <w:rPr>
          <w:rFonts w:ascii="仿宋" w:hAnsi="仿宋" w:eastAsia="仿宋" w:cs="仿宋"/>
          <w:kern w:val="0"/>
          <w:sz w:val="32"/>
          <w:szCs w:val="32"/>
        </w:rPr>
      </w:pPr>
      <w:r>
        <w:rPr>
          <w:rFonts w:hint="eastAsia" w:eastAsia="仿宋_GB2312"/>
          <w:sz w:val="32"/>
          <w:szCs w:val="32"/>
        </w:rPr>
        <w:t>（四）</w:t>
      </w:r>
      <w:r>
        <w:rPr>
          <w:rFonts w:eastAsia="仿宋_GB2312"/>
          <w:sz w:val="32"/>
          <w:szCs w:val="32"/>
        </w:rPr>
        <w:t>推荐</w:t>
      </w:r>
      <w:r>
        <w:rPr>
          <w:rFonts w:hint="eastAsia" w:eastAsia="仿宋_GB2312"/>
          <w:sz w:val="32"/>
          <w:szCs w:val="32"/>
        </w:rPr>
        <w:t>单位</w:t>
      </w:r>
      <w:r>
        <w:rPr>
          <w:rFonts w:eastAsia="仿宋_GB2312"/>
          <w:sz w:val="32"/>
          <w:szCs w:val="32"/>
        </w:rPr>
        <w:t>须承诺课程入选后按照各类课程要求开放共享或持续建设不少于5年，并按</w:t>
      </w:r>
      <w:r>
        <w:rPr>
          <w:rFonts w:hint="eastAsia" w:eastAsia="仿宋_GB2312"/>
          <w:sz w:val="32"/>
          <w:szCs w:val="32"/>
        </w:rPr>
        <w:t>学校</w:t>
      </w:r>
      <w:r>
        <w:rPr>
          <w:rFonts w:eastAsia="仿宋_GB2312"/>
          <w:sz w:val="32"/>
          <w:szCs w:val="32"/>
        </w:rPr>
        <w:t>要求提供年度运行数据，接受监督和管理。各虚拟仿真实验教学课程申报前应完成</w:t>
      </w:r>
      <w:r>
        <w:rPr>
          <w:rFonts w:eastAsia="仿宋_GB2312"/>
          <w:sz w:val="32"/>
        </w:rPr>
        <w:t>与</w:t>
      </w:r>
      <w:r>
        <w:rPr>
          <w:rFonts w:eastAsia="仿宋_GB2312"/>
          <w:sz w:val="32"/>
          <w:szCs w:val="32"/>
        </w:rPr>
        <w:t>江苏省级虚拟仿真共享平台的对接，并有共享应用数据支撑</w:t>
      </w:r>
      <w:r>
        <w:rPr>
          <w:rFonts w:hint="eastAsia" w:eastAsia="仿宋_GB2312"/>
          <w:sz w:val="32"/>
          <w:szCs w:val="32"/>
        </w:rPr>
        <w:t>。</w:t>
      </w:r>
    </w:p>
    <w:p>
      <w:pPr>
        <w:widowControl/>
        <w:spacing w:line="500" w:lineRule="exact"/>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四、工作程序</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（一）各教学单位认真学习《教育部关于一流本科课程建设的实施意见》(附件</w:t>
      </w:r>
      <w:r>
        <w:rPr>
          <w:rFonts w:eastAsia="仿宋"/>
          <w:kern w:val="0"/>
          <w:sz w:val="32"/>
          <w:szCs w:val="32"/>
        </w:rPr>
        <w:t>1</w:t>
      </w:r>
      <w:r>
        <w:rPr>
          <w:rFonts w:hint="eastAsia" w:ascii="仿宋" w:hAnsi="仿宋" w:eastAsia="仿宋" w:cs="仿宋"/>
          <w:kern w:val="0"/>
          <w:sz w:val="32"/>
          <w:szCs w:val="32"/>
        </w:rPr>
        <w:t>)的有关要求，开展各类课程的申报推荐工作。课程负责人按照文件的有关要求，提交《校级一流本科课程申报书》（附件</w:t>
      </w:r>
      <w:r>
        <w:rPr>
          <w:rFonts w:eastAsia="仿宋"/>
          <w:kern w:val="0"/>
          <w:sz w:val="32"/>
          <w:szCs w:val="32"/>
        </w:rPr>
        <w:t>2</w:t>
      </w:r>
      <w:r>
        <w:rPr>
          <w:rFonts w:hint="eastAsia" w:ascii="仿宋" w:hAnsi="仿宋" w:eastAsia="仿宋" w:cs="仿宋"/>
          <w:kern w:val="0"/>
          <w:sz w:val="32"/>
          <w:szCs w:val="32"/>
        </w:rPr>
        <w:t>）和附件材料（所需提供附件材料及文件要求详见</w:t>
      </w:r>
      <w:r>
        <w:rPr>
          <w:rFonts w:hint="eastAsia" w:ascii="仿宋" w:hAnsi="仿宋" w:eastAsia="仿宋" w:cs="仿宋"/>
          <w:b/>
          <w:kern w:val="0"/>
          <w:sz w:val="32"/>
          <w:szCs w:val="32"/>
        </w:rPr>
        <w:t>申报书“附件材料清单”，相应模板详见附件3</w:t>
      </w:r>
      <w:r>
        <w:rPr>
          <w:rFonts w:hint="eastAsia" w:ascii="仿宋" w:hAnsi="仿宋" w:eastAsia="仿宋" w:cs="仿宋"/>
          <w:kern w:val="0"/>
          <w:sz w:val="32"/>
          <w:szCs w:val="32"/>
        </w:rPr>
        <w:t>），纸质版一式两份和电子版到所在教学单位。</w:t>
      </w:r>
    </w:p>
    <w:p>
      <w:pPr>
        <w:widowControl/>
        <w:spacing w:line="500" w:lineRule="exact"/>
        <w:ind w:firstLine="640" w:firstLineChars="200"/>
        <w:rPr>
          <w:rFonts w:ascii="仿宋" w:hAnsi="仿宋" w:eastAsia="仿宋" w:cs="仿宋"/>
          <w:b/>
          <w:bCs/>
          <w:kern w:val="0"/>
          <w:sz w:val="32"/>
          <w:szCs w:val="32"/>
        </w:rPr>
      </w:pPr>
      <w:r>
        <w:rPr>
          <w:rFonts w:hint="eastAsia" w:ascii="仿宋" w:hAnsi="仿宋" w:eastAsia="仿宋" w:cs="仿宋"/>
          <w:bCs/>
          <w:kern w:val="0"/>
          <w:sz w:val="32"/>
          <w:szCs w:val="32"/>
        </w:rPr>
        <w:t>（二）各教学单位</w:t>
      </w:r>
      <w:r>
        <w:rPr>
          <w:rFonts w:hint="eastAsia" w:ascii="仿宋" w:hAnsi="仿宋" w:eastAsia="仿宋" w:cs="仿宋"/>
          <w:kern w:val="0"/>
          <w:sz w:val="32"/>
          <w:szCs w:val="32"/>
        </w:rPr>
        <w:t>审核《校级一流本科课程申报书》、申报书附件材料清单所有材料并统一填写附件</w:t>
      </w:r>
      <w:r>
        <w:rPr>
          <w:rFonts w:eastAsia="仿宋"/>
          <w:kern w:val="0"/>
          <w:sz w:val="32"/>
          <w:szCs w:val="32"/>
        </w:rPr>
        <w:t>4</w:t>
      </w:r>
      <w:r>
        <w:rPr>
          <w:rFonts w:hint="eastAsia" w:ascii="仿宋" w:hAnsi="仿宋" w:eastAsia="仿宋" w:cs="仿宋"/>
          <w:kern w:val="0"/>
          <w:sz w:val="32"/>
          <w:szCs w:val="32"/>
        </w:rPr>
        <w:t>（</w:t>
      </w:r>
      <w:r>
        <w:rPr>
          <w:rFonts w:hint="eastAsia" w:ascii="仿宋" w:hAnsi="仿宋" w:eastAsia="仿宋" w:cs="仿宋"/>
          <w:b/>
          <w:bCs/>
          <w:kern w:val="0"/>
          <w:sz w:val="32"/>
          <w:szCs w:val="32"/>
        </w:rPr>
        <w:t>以上材料均需提供纸质材料一式两份</w:t>
      </w:r>
      <w:r>
        <w:rPr>
          <w:rFonts w:hint="eastAsia" w:ascii="仿宋" w:hAnsi="仿宋" w:eastAsia="仿宋" w:cs="仿宋"/>
          <w:kern w:val="0"/>
          <w:sz w:val="32"/>
          <w:szCs w:val="32"/>
        </w:rPr>
        <w:t>），于</w:t>
      </w:r>
      <w:r>
        <w:rPr>
          <w:rFonts w:hint="eastAsia" w:ascii="仿宋" w:hAnsi="仿宋" w:eastAsia="仿宋" w:cs="仿宋"/>
          <w:b/>
          <w:bCs/>
          <w:kern w:val="0"/>
          <w:sz w:val="32"/>
          <w:szCs w:val="32"/>
        </w:rPr>
        <w:t>2022年2月2</w:t>
      </w:r>
      <w:r>
        <w:rPr>
          <w:rFonts w:ascii="仿宋" w:hAnsi="仿宋" w:eastAsia="仿宋" w:cs="仿宋"/>
          <w:b/>
          <w:bCs/>
          <w:kern w:val="0"/>
          <w:sz w:val="32"/>
          <w:szCs w:val="32"/>
        </w:rPr>
        <w:t>8</w:t>
      </w:r>
      <w:r>
        <w:rPr>
          <w:rFonts w:hint="eastAsia" w:ascii="仿宋" w:hAnsi="仿宋" w:eastAsia="仿宋" w:cs="仿宋"/>
          <w:b/>
          <w:bCs/>
          <w:kern w:val="0"/>
          <w:sz w:val="32"/>
          <w:szCs w:val="32"/>
        </w:rPr>
        <w:t>日前</w:t>
      </w:r>
      <w:r>
        <w:rPr>
          <w:rFonts w:hint="eastAsia" w:ascii="仿宋" w:hAnsi="仿宋" w:eastAsia="仿宋" w:cs="仿宋"/>
          <w:kern w:val="0"/>
          <w:sz w:val="32"/>
          <w:szCs w:val="32"/>
        </w:rPr>
        <w:t>报送教务处</w:t>
      </w:r>
      <w:r>
        <w:rPr>
          <w:rFonts w:eastAsia="仿宋"/>
          <w:kern w:val="0"/>
          <w:sz w:val="32"/>
          <w:szCs w:val="32"/>
        </w:rPr>
        <w:t>A309</w:t>
      </w:r>
      <w:r>
        <w:rPr>
          <w:rFonts w:hint="eastAsia" w:ascii="仿宋" w:hAnsi="仿宋" w:eastAsia="仿宋" w:cs="仿宋"/>
          <w:kern w:val="0"/>
          <w:sz w:val="32"/>
          <w:szCs w:val="32"/>
        </w:rPr>
        <w:t>，电子版发送至联系人</w:t>
      </w:r>
      <w:r>
        <w:rPr>
          <w:rFonts w:eastAsia="仿宋"/>
          <w:kern w:val="0"/>
          <w:sz w:val="32"/>
          <w:szCs w:val="32"/>
        </w:rPr>
        <w:t>OA</w:t>
      </w:r>
      <w:r>
        <w:rPr>
          <w:rFonts w:hint="eastAsia" w:ascii="仿宋" w:hAnsi="仿宋" w:eastAsia="仿宋" w:cs="仿宋"/>
          <w:kern w:val="0"/>
          <w:sz w:val="32"/>
          <w:szCs w:val="32"/>
        </w:rPr>
        <w:t>邮箱。</w:t>
      </w:r>
      <w:bookmarkStart w:id="0" w:name="_GoBack"/>
      <w:bookmarkEnd w:id="0"/>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（三）学校将于</w:t>
      </w:r>
      <w:r>
        <w:rPr>
          <w:rFonts w:eastAsia="仿宋"/>
          <w:kern w:val="0"/>
          <w:sz w:val="32"/>
          <w:szCs w:val="32"/>
        </w:rPr>
        <w:t>2022</w:t>
      </w:r>
      <w:r>
        <w:rPr>
          <w:rFonts w:hint="eastAsia" w:ascii="仿宋" w:hAnsi="仿宋" w:eastAsia="仿宋" w:cs="仿宋"/>
          <w:kern w:val="0"/>
          <w:sz w:val="32"/>
          <w:szCs w:val="32"/>
        </w:rPr>
        <w:t>年</w:t>
      </w:r>
      <w:r>
        <w:rPr>
          <w:rFonts w:eastAsia="仿宋"/>
          <w:kern w:val="0"/>
          <w:sz w:val="32"/>
          <w:szCs w:val="32"/>
        </w:rPr>
        <w:t>3</w:t>
      </w:r>
      <w:r>
        <w:rPr>
          <w:rFonts w:hint="eastAsia" w:ascii="仿宋" w:hAnsi="仿宋" w:eastAsia="仿宋" w:cs="仿宋"/>
          <w:kern w:val="0"/>
          <w:sz w:val="32"/>
          <w:szCs w:val="32"/>
        </w:rPr>
        <w:t>月上旬组织专家对所有申报课程进行评审，遴选课程申报国家级和省级一流本科课程。</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（四）各教学单位及课程团队根据专家意见进行课程申报材料的修改与完善工作，并继续做好课程建设与培育的系列工作。</w:t>
      </w:r>
    </w:p>
    <w:p>
      <w:pPr>
        <w:widowControl/>
        <w:spacing w:line="500" w:lineRule="exact"/>
        <w:ind w:firstLine="643" w:firstLineChars="200"/>
        <w:rPr>
          <w:rFonts w:ascii="仿宋" w:hAnsi="仿宋" w:eastAsia="仿宋" w:cs="仿宋"/>
          <w:b/>
          <w:bCs/>
          <w:kern w:val="0"/>
          <w:sz w:val="32"/>
          <w:szCs w:val="32"/>
        </w:rPr>
      </w:pPr>
      <w:r>
        <w:rPr>
          <w:rFonts w:hint="eastAsia" w:ascii="仿宋" w:hAnsi="仿宋" w:eastAsia="仿宋" w:cs="仿宋"/>
          <w:b/>
          <w:bCs/>
          <w:kern w:val="0"/>
          <w:sz w:val="32"/>
          <w:szCs w:val="32"/>
        </w:rPr>
        <w:t>六、联系方式</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联系人：许淋萍</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联系电话：</w:t>
      </w:r>
      <w:r>
        <w:rPr>
          <w:rFonts w:eastAsia="仿宋"/>
          <w:kern w:val="0"/>
          <w:sz w:val="32"/>
          <w:szCs w:val="32"/>
        </w:rPr>
        <w:t>4925</w:t>
      </w:r>
      <w:r>
        <w:rPr>
          <w:rFonts w:hint="eastAsia" w:ascii="仿宋" w:hAnsi="仿宋" w:eastAsia="仿宋" w:cs="仿宋"/>
          <w:kern w:val="0"/>
          <w:sz w:val="32"/>
          <w:szCs w:val="32"/>
        </w:rPr>
        <w:t>，</w:t>
      </w:r>
      <w:r>
        <w:rPr>
          <w:rFonts w:eastAsia="仿宋"/>
          <w:kern w:val="0"/>
          <w:sz w:val="32"/>
          <w:szCs w:val="32"/>
        </w:rPr>
        <w:t>7625</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办公地址：行政楼</w:t>
      </w:r>
      <w:r>
        <w:rPr>
          <w:rFonts w:eastAsia="仿宋"/>
          <w:kern w:val="0"/>
          <w:sz w:val="32"/>
          <w:szCs w:val="32"/>
        </w:rPr>
        <w:t>A309</w:t>
      </w:r>
      <w:r>
        <w:rPr>
          <w:rFonts w:hint="eastAsia" w:ascii="仿宋" w:hAnsi="仿宋" w:eastAsia="仿宋" w:cs="仿宋"/>
          <w:kern w:val="0"/>
          <w:sz w:val="32"/>
          <w:szCs w:val="32"/>
        </w:rPr>
        <w:t>室</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附件： </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1.教育部关于一流本科课程建设的实施意见</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2.第二批校级一流本科课程申报书</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3.第</w:t>
      </w:r>
      <w:r>
        <w:rPr>
          <w:rFonts w:hint="eastAsia" w:ascii="仿宋" w:hAnsi="仿宋" w:eastAsia="仿宋" w:cs="仿宋"/>
          <w:kern w:val="0"/>
          <w:sz w:val="32"/>
          <w:szCs w:val="32"/>
          <w:lang w:eastAsia="zh-CN"/>
        </w:rPr>
        <w:t>二</w:t>
      </w:r>
      <w:r>
        <w:rPr>
          <w:rFonts w:hint="eastAsia" w:ascii="仿宋" w:hAnsi="仿宋" w:eastAsia="仿宋" w:cs="仿宋"/>
          <w:kern w:val="0"/>
          <w:sz w:val="32"/>
          <w:szCs w:val="32"/>
        </w:rPr>
        <w:t>批校级一流本科课程申报书附件材料模板</w:t>
      </w:r>
    </w:p>
    <w:p>
      <w:pPr>
        <w:widowControl/>
        <w:spacing w:line="50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4.三江学院第二批校级一流本科课程申报推荐汇总表</w:t>
      </w:r>
    </w:p>
    <w:p>
      <w:pPr>
        <w:widowControl/>
        <w:spacing w:line="500" w:lineRule="exact"/>
        <w:ind w:firstLine="480" w:firstLineChars="200"/>
        <w:rPr>
          <w:rFonts w:ascii="宋体" w:hAnsi="宋体" w:cs="宋体"/>
          <w:kern w:val="0"/>
          <w:sz w:val="24"/>
        </w:rPr>
      </w:pPr>
    </w:p>
    <w:p>
      <w:pPr>
        <w:widowControl/>
        <w:spacing w:line="500" w:lineRule="exact"/>
        <w:ind w:firstLine="640" w:firstLineChars="200"/>
        <w:jc w:val="center"/>
        <w:rPr>
          <w:rFonts w:ascii="仿宋" w:hAnsi="仿宋" w:eastAsia="仿宋" w:cs="仿宋"/>
          <w:kern w:val="0"/>
          <w:sz w:val="32"/>
          <w:szCs w:val="32"/>
        </w:rPr>
      </w:pPr>
      <w:r>
        <w:rPr>
          <w:rFonts w:hint="eastAsia" w:ascii="仿宋" w:hAnsi="仿宋" w:eastAsia="仿宋" w:cs="仿宋"/>
          <w:kern w:val="0"/>
          <w:sz w:val="32"/>
          <w:szCs w:val="32"/>
        </w:rPr>
        <w:t xml:space="preserve">                                    教务处</w:t>
      </w:r>
    </w:p>
    <w:p>
      <w:pPr>
        <w:widowControl/>
        <w:spacing w:line="500" w:lineRule="exact"/>
        <w:ind w:firstLine="640" w:firstLineChars="200"/>
        <w:jc w:val="right"/>
        <w:rPr>
          <w:rFonts w:ascii="仿宋" w:hAnsi="仿宋" w:eastAsia="仿宋" w:cs="仿宋"/>
          <w:kern w:val="0"/>
          <w:sz w:val="32"/>
          <w:szCs w:val="32"/>
        </w:rPr>
      </w:pPr>
      <w:r>
        <w:rPr>
          <w:rFonts w:eastAsia="仿宋"/>
          <w:kern w:val="0"/>
          <w:sz w:val="32"/>
          <w:szCs w:val="32"/>
        </w:rPr>
        <w:t>2021</w:t>
      </w:r>
      <w:r>
        <w:rPr>
          <w:rFonts w:hint="eastAsia" w:ascii="仿宋" w:hAnsi="仿宋" w:eastAsia="仿宋" w:cs="仿宋"/>
          <w:kern w:val="0"/>
          <w:sz w:val="32"/>
          <w:szCs w:val="32"/>
        </w:rPr>
        <w:t>年</w:t>
      </w:r>
      <w:r>
        <w:rPr>
          <w:rFonts w:eastAsia="仿宋"/>
          <w:kern w:val="0"/>
          <w:sz w:val="32"/>
          <w:szCs w:val="32"/>
        </w:rPr>
        <w:t>12</w:t>
      </w:r>
      <w:r>
        <w:rPr>
          <w:rFonts w:hint="eastAsia" w:ascii="仿宋" w:hAnsi="仿宋" w:eastAsia="仿宋" w:cs="仿宋"/>
          <w:kern w:val="0"/>
          <w:sz w:val="32"/>
          <w:szCs w:val="32"/>
        </w:rPr>
        <w:t>月</w:t>
      </w:r>
      <w:r>
        <w:rPr>
          <w:rFonts w:eastAsia="仿宋"/>
          <w:kern w:val="0"/>
          <w:sz w:val="32"/>
          <w:szCs w:val="32"/>
        </w:rPr>
        <w:t>29</w:t>
      </w:r>
      <w:r>
        <w:rPr>
          <w:rFonts w:hint="eastAsia" w:ascii="仿宋" w:hAnsi="仿宋" w:eastAsia="仿宋" w:cs="仿宋"/>
          <w:kern w:val="0"/>
          <w:sz w:val="32"/>
          <w:szCs w:val="32"/>
        </w:rPr>
        <w:t>日</w:t>
      </w: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p>
    <w:p>
      <w:pPr>
        <w:widowControl/>
        <w:spacing w:line="500" w:lineRule="exact"/>
        <w:ind w:firstLine="640" w:firstLineChars="200"/>
        <w:jc w:val="right"/>
        <w:rPr>
          <w:rFonts w:ascii="仿宋" w:hAnsi="仿宋" w:eastAsia="仿宋" w:cs="仿宋"/>
          <w:kern w:val="0"/>
          <w:sz w:val="32"/>
          <w:szCs w:val="32"/>
        </w:rPr>
      </w:pPr>
      <w:r>
        <w:rPr>
          <w:rFonts w:hint="eastAsia" w:ascii="仿宋" w:hAnsi="仿宋" w:eastAsia="仿宋" w:cs="仿宋"/>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346075</wp:posOffset>
                </wp:positionV>
                <wp:extent cx="5636895" cy="0"/>
                <wp:effectExtent l="8255" t="7620" r="12700" b="11430"/>
                <wp:wrapNone/>
                <wp:docPr id="2" name="Line 5"/>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3.75pt;margin-top:27.25pt;height:0pt;width:443.85pt;z-index:251660288;mso-width-relative:page;mso-height-relative:page;" filled="f" stroked="t" coordsize="21600,21600" o:gfxdata="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5giM9YAAAAIAQAADwAAAAAAAAABACAAAAAiAAAAZHJzL2Rv&#10;d25yZXYueG1sUEsBAhQAFAAAAAgAh07iQEx06G7KAQAAnwMAAA4AAAAAAAAAAQAgAAAAJQEAAGRy&#10;cy9lMm9Eb2MueG1sUEsFBgAAAAAGAAYAWQEAAGEFAAAAAA==&#10;">
                <v:fill on="f" focussize="0,0"/>
                <v:stroke color="#000000" joinstyle="round"/>
                <v:imagedata o:title=""/>
                <o:lock v:ext="edit" aspectratio="f"/>
              </v:line>
            </w:pict>
          </mc:Fallback>
        </mc:AlternateContent>
      </w:r>
    </w:p>
    <w:p>
      <w:pPr>
        <w:pStyle w:val="3"/>
        <w:spacing w:line="520" w:lineRule="exact"/>
        <w:rPr>
          <w:rFonts w:ascii="仿宋" w:hAnsi="仿宋" w:eastAsia="仿宋" w:cs="仿宋"/>
          <w:kern w:val="0"/>
          <w:sz w:val="32"/>
          <w:szCs w:val="32"/>
        </w:rPr>
      </w:pPr>
      <w:r>
        <w:rPr>
          <w:rFonts w:hint="eastAsia" w:ascii="仿宋" w:hAnsi="仿宋" w:eastAsia="仿宋" w:cs="仿宋"/>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342265</wp:posOffset>
                </wp:positionV>
                <wp:extent cx="5636895" cy="0"/>
                <wp:effectExtent l="8255" t="9525" r="12700" b="9525"/>
                <wp:wrapNone/>
                <wp:docPr id="1" name="Line 6"/>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line">
                          <a:avLst/>
                        </a:prstGeom>
                        <a:noFill/>
                        <a:ln w="9525">
                          <a:solidFill>
                            <a:srgbClr val="000000"/>
                          </a:solidFill>
                          <a:round/>
                        </a:ln>
                      </wps:spPr>
                      <wps:bodyPr/>
                    </wps:wsp>
                  </a:graphicData>
                </a:graphic>
              </wp:anchor>
            </w:drawing>
          </mc:Choice>
          <mc:Fallback>
            <w:pict>
              <v:line id="Line 6" o:spid="_x0000_s1026" o:spt="20" style="position:absolute;left:0pt;margin-left:-3pt;margin-top:26.95pt;height:0pt;width:443.85pt;z-index:251660288;mso-width-relative:page;mso-height-relative:page;" filled="f" stroked="t" coordsize="21600,21600" o:gfxdata="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tILYdcAAAAIAQAADwAAAAAAAAABACAAAAAiAAAAZHJzL2Rv&#10;d25yZXYueG1sUEsBAhQAFAAAAAgAh07iQLatgpHJAQAAnwMAAA4AAAAAAAAAAQAgAAAAJgEAAGRy&#10;cy9lMm9Eb2MueG1sUEsFBgAAAAAGAAYAWQEAAGEFAAAAAA==&#10;">
                <v:fill on="f" focussize="0,0"/>
                <v:stroke color="#000000" joinstyle="round"/>
                <v:imagedata o:title=""/>
                <o:lock v:ext="edit" aspectratio="f"/>
              </v:line>
            </w:pict>
          </mc:Fallback>
        </mc:AlternateContent>
      </w:r>
      <w:r>
        <w:rPr>
          <w:rFonts w:hint="eastAsia" w:ascii="仿宋" w:hAnsi="仿宋" w:eastAsia="仿宋" w:cs="仿宋"/>
          <w:kern w:val="0"/>
          <w:sz w:val="32"/>
          <w:szCs w:val="32"/>
        </w:rPr>
        <w:t xml:space="preserve">三江学院教务处 </w:t>
      </w:r>
      <w:r>
        <w:rPr>
          <w:rFonts w:hint="eastAsia"/>
        </w:rPr>
        <w:t xml:space="preserve">                      </w:t>
      </w:r>
      <w:r>
        <w:rPr>
          <w:rFonts w:eastAsia="仿宋"/>
          <w:kern w:val="0"/>
          <w:sz w:val="32"/>
          <w:szCs w:val="32"/>
        </w:rPr>
        <w:t>2021</w:t>
      </w:r>
      <w:r>
        <w:rPr>
          <w:rFonts w:hint="eastAsia" w:ascii="仿宋" w:hAnsi="仿宋" w:eastAsia="仿宋" w:cs="仿宋"/>
          <w:kern w:val="0"/>
          <w:sz w:val="32"/>
          <w:szCs w:val="32"/>
        </w:rPr>
        <w:t>年</w:t>
      </w:r>
      <w:r>
        <w:rPr>
          <w:rFonts w:eastAsia="仿宋"/>
          <w:kern w:val="0"/>
          <w:sz w:val="32"/>
          <w:szCs w:val="32"/>
        </w:rPr>
        <w:t>12</w:t>
      </w:r>
      <w:r>
        <w:rPr>
          <w:rFonts w:hint="eastAsia" w:ascii="仿宋" w:hAnsi="仿宋" w:eastAsia="仿宋" w:cs="仿宋"/>
          <w:kern w:val="0"/>
          <w:sz w:val="32"/>
          <w:szCs w:val="32"/>
        </w:rPr>
        <w:t>月</w:t>
      </w:r>
      <w:r>
        <w:rPr>
          <w:rFonts w:eastAsia="仿宋"/>
          <w:kern w:val="0"/>
          <w:sz w:val="32"/>
          <w:szCs w:val="32"/>
        </w:rPr>
        <w:t>29</w:t>
      </w:r>
      <w:r>
        <w:rPr>
          <w:rFonts w:hint="eastAsia" w:ascii="仿宋" w:hAnsi="仿宋" w:eastAsia="仿宋" w:cs="仿宋"/>
          <w:kern w:val="0"/>
          <w:sz w:val="32"/>
          <w:szCs w:val="32"/>
        </w:rPr>
        <w:t>日印发</w:t>
      </w:r>
    </w:p>
    <w:sectPr>
      <w:footerReference r:id="rId3" w:type="default"/>
      <w:footerReference r:id="rId4" w:type="even"/>
      <w:pgSz w:w="11906" w:h="16838"/>
      <w:pgMar w:top="2098" w:right="1588" w:bottom="2025" w:left="1588" w:header="851" w:footer="680"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sz w:val="32"/>
      </w:rPr>
    </w:pPr>
    <w:r>
      <w:rPr>
        <w:rStyle w:val="10"/>
        <w:sz w:val="32"/>
      </w:rPr>
      <w:fldChar w:fldCharType="begin"/>
    </w:r>
    <w:r>
      <w:rPr>
        <w:rStyle w:val="10"/>
        <w:sz w:val="32"/>
      </w:rPr>
      <w:instrText xml:space="preserve">PAGE  </w:instrText>
    </w:r>
    <w:r>
      <w:rPr>
        <w:rStyle w:val="10"/>
        <w:sz w:val="32"/>
      </w:rPr>
      <w:fldChar w:fldCharType="separate"/>
    </w:r>
    <w:r>
      <w:rPr>
        <w:rStyle w:val="10"/>
        <w:sz w:val="32"/>
      </w:rPr>
      <w:t>3</w:t>
    </w:r>
    <w:r>
      <w:rPr>
        <w:rStyle w:val="10"/>
        <w:sz w:val="32"/>
      </w:rPr>
      <w:fldChar w:fldCharType="end"/>
    </w:r>
  </w:p>
  <w:p>
    <w:pPr>
      <w:pStyle w:val="6"/>
      <w:jc w:val="center"/>
      <w:rPr>
        <w:sz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E63"/>
    <w:rsid w:val="000249D4"/>
    <w:rsid w:val="0007216A"/>
    <w:rsid w:val="00092780"/>
    <w:rsid w:val="000A0937"/>
    <w:rsid w:val="000A7100"/>
    <w:rsid w:val="000B0D2C"/>
    <w:rsid w:val="000D2090"/>
    <w:rsid w:val="00114174"/>
    <w:rsid w:val="00144235"/>
    <w:rsid w:val="00154C5A"/>
    <w:rsid w:val="0015636C"/>
    <w:rsid w:val="00184CD6"/>
    <w:rsid w:val="00190F0E"/>
    <w:rsid w:val="001A4294"/>
    <w:rsid w:val="001C56CD"/>
    <w:rsid w:val="001F31AA"/>
    <w:rsid w:val="002000B9"/>
    <w:rsid w:val="0021104A"/>
    <w:rsid w:val="00216F4C"/>
    <w:rsid w:val="002174ED"/>
    <w:rsid w:val="00245511"/>
    <w:rsid w:val="00251B46"/>
    <w:rsid w:val="00283DA4"/>
    <w:rsid w:val="00293AAC"/>
    <w:rsid w:val="002A0003"/>
    <w:rsid w:val="002F0BBA"/>
    <w:rsid w:val="002F6482"/>
    <w:rsid w:val="00307240"/>
    <w:rsid w:val="00340603"/>
    <w:rsid w:val="00352F83"/>
    <w:rsid w:val="003C3DE7"/>
    <w:rsid w:val="003F7B72"/>
    <w:rsid w:val="00471E59"/>
    <w:rsid w:val="00482E6E"/>
    <w:rsid w:val="004C019B"/>
    <w:rsid w:val="004F2FBB"/>
    <w:rsid w:val="00536A5D"/>
    <w:rsid w:val="005432E9"/>
    <w:rsid w:val="00561601"/>
    <w:rsid w:val="005A5492"/>
    <w:rsid w:val="005B29C1"/>
    <w:rsid w:val="005D6A6E"/>
    <w:rsid w:val="005F3933"/>
    <w:rsid w:val="0063308E"/>
    <w:rsid w:val="0069245A"/>
    <w:rsid w:val="006A0755"/>
    <w:rsid w:val="006D0A48"/>
    <w:rsid w:val="006D57BB"/>
    <w:rsid w:val="006D5819"/>
    <w:rsid w:val="007166DA"/>
    <w:rsid w:val="00733DC2"/>
    <w:rsid w:val="00742425"/>
    <w:rsid w:val="007600D7"/>
    <w:rsid w:val="007822D2"/>
    <w:rsid w:val="00791FD8"/>
    <w:rsid w:val="00794BAE"/>
    <w:rsid w:val="007F3518"/>
    <w:rsid w:val="00816AB4"/>
    <w:rsid w:val="00835DFD"/>
    <w:rsid w:val="0086060F"/>
    <w:rsid w:val="0087018F"/>
    <w:rsid w:val="00895777"/>
    <w:rsid w:val="008A1DE6"/>
    <w:rsid w:val="008B555C"/>
    <w:rsid w:val="008D0BD4"/>
    <w:rsid w:val="00906ACC"/>
    <w:rsid w:val="00927CF4"/>
    <w:rsid w:val="00932061"/>
    <w:rsid w:val="0097372A"/>
    <w:rsid w:val="009A36BF"/>
    <w:rsid w:val="009B7D9C"/>
    <w:rsid w:val="009C5F01"/>
    <w:rsid w:val="009D59DF"/>
    <w:rsid w:val="009E02DE"/>
    <w:rsid w:val="009E05B0"/>
    <w:rsid w:val="009F420A"/>
    <w:rsid w:val="00A04366"/>
    <w:rsid w:val="00A24139"/>
    <w:rsid w:val="00A24A11"/>
    <w:rsid w:val="00A27E63"/>
    <w:rsid w:val="00A370D8"/>
    <w:rsid w:val="00A56889"/>
    <w:rsid w:val="00A62CF7"/>
    <w:rsid w:val="00AB3C8A"/>
    <w:rsid w:val="00AE5188"/>
    <w:rsid w:val="00B207D5"/>
    <w:rsid w:val="00B35C4F"/>
    <w:rsid w:val="00B539D8"/>
    <w:rsid w:val="00B65149"/>
    <w:rsid w:val="00B9000C"/>
    <w:rsid w:val="00B97F03"/>
    <w:rsid w:val="00BF3F9B"/>
    <w:rsid w:val="00C45907"/>
    <w:rsid w:val="00C55699"/>
    <w:rsid w:val="00CB4085"/>
    <w:rsid w:val="00CF2A93"/>
    <w:rsid w:val="00D11715"/>
    <w:rsid w:val="00D33140"/>
    <w:rsid w:val="00D36868"/>
    <w:rsid w:val="00DB6C0B"/>
    <w:rsid w:val="00DC1213"/>
    <w:rsid w:val="00DE3EF3"/>
    <w:rsid w:val="00E23879"/>
    <w:rsid w:val="00E32916"/>
    <w:rsid w:val="00E340D2"/>
    <w:rsid w:val="00E72894"/>
    <w:rsid w:val="00EA661B"/>
    <w:rsid w:val="00EB4CD1"/>
    <w:rsid w:val="00EC7A95"/>
    <w:rsid w:val="00F92328"/>
    <w:rsid w:val="00FA2371"/>
    <w:rsid w:val="0AE60DF3"/>
    <w:rsid w:val="0AF6227D"/>
    <w:rsid w:val="0E7F4C18"/>
    <w:rsid w:val="12A72005"/>
    <w:rsid w:val="14521A98"/>
    <w:rsid w:val="14AE7044"/>
    <w:rsid w:val="1B0945DF"/>
    <w:rsid w:val="1E951CA8"/>
    <w:rsid w:val="22C72E1B"/>
    <w:rsid w:val="257020EB"/>
    <w:rsid w:val="2A655ADB"/>
    <w:rsid w:val="2AF31EF3"/>
    <w:rsid w:val="32162C1B"/>
    <w:rsid w:val="35E960A8"/>
    <w:rsid w:val="378D5875"/>
    <w:rsid w:val="3A730576"/>
    <w:rsid w:val="3E6B2A43"/>
    <w:rsid w:val="408224F2"/>
    <w:rsid w:val="4281165B"/>
    <w:rsid w:val="4EC4291A"/>
    <w:rsid w:val="54770CA1"/>
    <w:rsid w:val="591D5F26"/>
    <w:rsid w:val="5A9A1E95"/>
    <w:rsid w:val="5BC052D9"/>
    <w:rsid w:val="61252B68"/>
    <w:rsid w:val="638B01AB"/>
    <w:rsid w:val="65DB1224"/>
    <w:rsid w:val="6C8C1B2A"/>
    <w:rsid w:val="712A25DF"/>
    <w:rsid w:val="72706388"/>
    <w:rsid w:val="77296589"/>
    <w:rsid w:val="79FA6EEE"/>
    <w:rsid w:val="7A41350F"/>
    <w:rsid w:val="7A893BF5"/>
    <w:rsid w:val="7A8F61B8"/>
    <w:rsid w:val="7BDD2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qFormat/>
    <w:uiPriority w:val="0"/>
    <w:rPr>
      <w:sz w:val="28"/>
      <w:szCs w:val="20"/>
    </w:rPr>
  </w:style>
  <w:style w:type="paragraph" w:styleId="4">
    <w:name w:val="Date"/>
    <w:basedOn w:val="1"/>
    <w:next w:val="1"/>
    <w:qFormat/>
    <w:uiPriority w:val="0"/>
    <w:pPr>
      <w:ind w:left="100" w:leftChars="2500"/>
    </w:pPr>
  </w:style>
  <w:style w:type="paragraph" w:styleId="5">
    <w:name w:val="Balloon Text"/>
    <w:basedOn w:val="1"/>
    <w:link w:val="1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批注框文本 字符"/>
    <w:link w:val="5"/>
    <w:qFormat/>
    <w:uiPriority w:val="0"/>
    <w:rPr>
      <w:kern w:val="2"/>
      <w:sz w:val="18"/>
      <w:szCs w:val="18"/>
    </w:rPr>
  </w:style>
  <w:style w:type="character" w:customStyle="1" w:styleId="12">
    <w:name w:val="页眉 字符"/>
    <w:link w:val="7"/>
    <w:qFormat/>
    <w:uiPriority w:val="0"/>
    <w:rPr>
      <w:kern w:val="2"/>
      <w:sz w:val="18"/>
      <w:szCs w:val="18"/>
    </w:rPr>
  </w:style>
  <w:style w:type="paragraph" w:customStyle="1" w:styleId="13">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362</Words>
  <Characters>2070</Characters>
  <Lines>17</Lines>
  <Paragraphs>4</Paragraphs>
  <TotalTime>55</TotalTime>
  <ScaleCrop>false</ScaleCrop>
  <LinksUpToDate>false</LinksUpToDate>
  <CharactersWithSpaces>2428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2019-11-28T09:08:00Z</dcterms:created>
  <dc:creator>joker</dc:creator>
  <cp:lastModifiedBy>WPS_1615516907</cp:lastModifiedBy>
  <cp:lastPrinted>2020-06-12T07:50:00Z</cp:lastPrinted>
  <dcterms:modified xsi:type="dcterms:W3CDTF">2021-12-29T08:10:04Z</dcterms:modified>
  <dc:title>三江学院教务处文件</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F31A21663CF0415189BF77F15442E66C</vt:lpwstr>
  </property>
</Properties>
</file>