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BD4E0" w14:textId="713CD65D" w:rsidR="00196320" w:rsidRDefault="008A0FA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8A0FA8">
        <w:rPr>
          <w:rFonts w:asciiTheme="majorEastAsia" w:eastAsiaTheme="majorEastAsia" w:hAnsiTheme="majorEastAsia" w:hint="eastAsia"/>
          <w:b/>
          <w:sz w:val="36"/>
          <w:szCs w:val="36"/>
        </w:rPr>
        <w:t>公共艺术</w:t>
      </w:r>
      <w:r w:rsidR="00104FE5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541BD4E7" w14:textId="543D1FE1" w:rsidR="00196320" w:rsidRDefault="001C3A92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104FE5">
        <w:rPr>
          <w:rFonts w:ascii="仿宋" w:eastAsia="仿宋" w:hAnsi="仿宋" w:hint="eastAsia"/>
          <w:sz w:val="28"/>
          <w:szCs w:val="28"/>
        </w:rPr>
        <w:t>专业简介：</w:t>
      </w:r>
    </w:p>
    <w:p w14:paraId="541BD4E8" w14:textId="77777777" w:rsidR="00196320" w:rsidRDefault="00104FE5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本专业坚持以“软硬兼备、技艺相融”的人才培养为目标，</w:t>
      </w:r>
      <w:r>
        <w:rPr>
          <w:rFonts w:ascii="仿宋" w:eastAsia="仿宋" w:hAnsi="仿宋" w:hint="eastAsia"/>
          <w:sz w:val="28"/>
          <w:szCs w:val="28"/>
        </w:rPr>
        <w:t>注重实践与创新能力培养。</w:t>
      </w:r>
      <w:r>
        <w:rPr>
          <w:rFonts w:ascii="仿宋" w:eastAsia="仿宋" w:hAnsi="仿宋" w:hint="eastAsia"/>
          <w:sz w:val="28"/>
          <w:szCs w:val="28"/>
        </w:rPr>
        <w:t>以“艺术与技术相结合、设计与应用相结合”为培养理念，</w:t>
      </w:r>
      <w:r>
        <w:rPr>
          <w:rFonts w:ascii="仿宋" w:eastAsia="仿宋" w:hAnsi="仿宋" w:hint="eastAsia"/>
          <w:sz w:val="28"/>
          <w:szCs w:val="28"/>
        </w:rPr>
        <w:t>将</w:t>
      </w:r>
      <w:r>
        <w:rPr>
          <w:rFonts w:ascii="仿宋" w:eastAsia="仿宋" w:hAnsi="仿宋" w:hint="eastAsia"/>
          <w:sz w:val="28"/>
          <w:szCs w:val="28"/>
        </w:rPr>
        <w:t>传统</w:t>
      </w:r>
      <w:r>
        <w:rPr>
          <w:rFonts w:ascii="仿宋" w:eastAsia="仿宋" w:hAnsi="仿宋" w:hint="eastAsia"/>
          <w:sz w:val="28"/>
          <w:szCs w:val="28"/>
        </w:rPr>
        <w:t>工艺与现代科技及空间艺术相结合，以雕塑、漆艺、陶瓷艺术、装置艺术等为基础，结合材料、数字技术进行融合创新尝试。立足传统工艺传承创新与数字智能技术融合发展，面向非遗活化、文创产品、智能制造、数字文博、家居与首饰设计等领域，培养德、智、体、美、</w:t>
      </w:r>
      <w:proofErr w:type="gramStart"/>
      <w:r>
        <w:rPr>
          <w:rFonts w:ascii="仿宋" w:eastAsia="仿宋" w:hAnsi="仿宋" w:hint="eastAsia"/>
          <w:sz w:val="28"/>
          <w:szCs w:val="28"/>
        </w:rPr>
        <w:t>劳</w:t>
      </w:r>
      <w:proofErr w:type="gramEnd"/>
      <w:r>
        <w:rPr>
          <w:rFonts w:ascii="仿宋" w:eastAsia="仿宋" w:hAnsi="仿宋" w:hint="eastAsia"/>
          <w:sz w:val="28"/>
          <w:szCs w:val="28"/>
        </w:rPr>
        <w:t>全面发展，具备工艺美学素养、数字化设计能力、智能生成技术、智能制造落地能力，能够从事工艺数字化研发、智能纹样设计、参数化器物创作、文</w:t>
      </w:r>
      <w:proofErr w:type="gramStart"/>
      <w:r>
        <w:rPr>
          <w:rFonts w:ascii="仿宋" w:eastAsia="仿宋" w:hAnsi="仿宋" w:hint="eastAsia"/>
          <w:sz w:val="28"/>
          <w:szCs w:val="28"/>
        </w:rPr>
        <w:t>创产品</w:t>
      </w:r>
      <w:proofErr w:type="gramEnd"/>
      <w:r>
        <w:rPr>
          <w:rFonts w:ascii="仿宋" w:eastAsia="仿宋" w:hAnsi="仿宋" w:hint="eastAsia"/>
          <w:sz w:val="28"/>
          <w:szCs w:val="28"/>
        </w:rPr>
        <w:t>开发的复合型、创新型、应用型设计人才。使学生具备能够创作面向大众、介入社会议题、进行跨学科融合的公共艺术作品能力。创建</w:t>
      </w:r>
      <w:r>
        <w:rPr>
          <w:rFonts w:ascii="仿宋" w:eastAsia="仿宋" w:hAnsi="仿宋" w:hint="eastAsia"/>
          <w:sz w:val="28"/>
          <w:szCs w:val="28"/>
        </w:rPr>
        <w:t>“项目载体，能力为要”的教学模式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培养学生实际解决问题的能力。</w:t>
      </w:r>
      <w:r>
        <w:rPr>
          <w:rFonts w:ascii="仿宋" w:eastAsia="仿宋" w:hAnsi="仿宋" w:hint="eastAsia"/>
          <w:sz w:val="28"/>
          <w:szCs w:val="28"/>
        </w:rPr>
        <w:t>通过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三教融合、三院协同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的人才培养体系，培养具有人文底蕴、</w:t>
      </w:r>
      <w:r>
        <w:rPr>
          <w:rFonts w:ascii="仿宋" w:eastAsia="仿宋" w:hAnsi="仿宋" w:hint="eastAsia"/>
          <w:sz w:val="28"/>
          <w:szCs w:val="28"/>
        </w:rPr>
        <w:t>一专多能</w:t>
      </w:r>
      <w:r>
        <w:rPr>
          <w:rFonts w:ascii="仿宋" w:eastAsia="仿宋" w:hAnsi="仿宋" w:hint="eastAsia"/>
          <w:sz w:val="28"/>
          <w:szCs w:val="28"/>
        </w:rPr>
        <w:t>、创新精神的</w:t>
      </w:r>
      <w:r>
        <w:rPr>
          <w:rFonts w:ascii="仿宋" w:eastAsia="仿宋" w:hAnsi="仿宋" w:hint="eastAsia"/>
          <w:sz w:val="28"/>
          <w:szCs w:val="28"/>
        </w:rPr>
        <w:t>复合型设计人才，</w:t>
      </w:r>
      <w:r>
        <w:rPr>
          <w:rFonts w:ascii="仿宋" w:eastAsia="仿宋" w:hAnsi="仿宋" w:hint="eastAsia"/>
          <w:sz w:val="28"/>
          <w:szCs w:val="28"/>
        </w:rPr>
        <w:t>使学生具</w:t>
      </w:r>
      <w:r>
        <w:rPr>
          <w:rFonts w:ascii="仿宋" w:eastAsia="仿宋" w:hAnsi="仿宋" w:hint="eastAsia"/>
          <w:sz w:val="28"/>
          <w:szCs w:val="28"/>
        </w:rPr>
        <w:t>备</w:t>
      </w:r>
      <w:r>
        <w:rPr>
          <w:rFonts w:ascii="仿宋" w:eastAsia="仿宋" w:hAnsi="仿宋" w:hint="eastAsia"/>
          <w:sz w:val="28"/>
          <w:szCs w:val="28"/>
        </w:rPr>
        <w:t>将多元的艺术形式融合应用</w:t>
      </w:r>
      <w:r>
        <w:rPr>
          <w:rFonts w:ascii="仿宋" w:eastAsia="仿宋" w:hAnsi="仿宋" w:hint="eastAsia"/>
          <w:sz w:val="28"/>
          <w:szCs w:val="28"/>
        </w:rPr>
        <w:t>于</w:t>
      </w:r>
      <w:r>
        <w:rPr>
          <w:rFonts w:ascii="仿宋" w:eastAsia="仿宋" w:hAnsi="仿宋" w:hint="eastAsia"/>
          <w:sz w:val="28"/>
          <w:szCs w:val="28"/>
        </w:rPr>
        <w:t>公共空间设计中的能力。</w:t>
      </w:r>
    </w:p>
    <w:p w14:paraId="541BD4E9" w14:textId="43DCDA70" w:rsidR="00196320" w:rsidRDefault="0011654E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104FE5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41BD4EA" w14:textId="77777777" w:rsidR="00196320" w:rsidRDefault="00104FE5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196320" w14:paraId="541BD4F1" w14:textId="77777777">
        <w:trPr>
          <w:tblHeader/>
          <w:jc w:val="center"/>
        </w:trPr>
        <w:tc>
          <w:tcPr>
            <w:tcW w:w="809" w:type="dxa"/>
          </w:tcPr>
          <w:p w14:paraId="541BD4EB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541BD4EC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41BD4ED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41BD4EE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41BD4EF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41BD4F0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96320" w14:paraId="541BD4F8" w14:textId="77777777">
        <w:trPr>
          <w:jc w:val="center"/>
        </w:trPr>
        <w:tc>
          <w:tcPr>
            <w:tcW w:w="809" w:type="dxa"/>
          </w:tcPr>
          <w:p w14:paraId="541BD4F2" w14:textId="77777777" w:rsidR="00196320" w:rsidRDefault="00196320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41BD4F3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113d40</w:t>
            </w:r>
          </w:p>
        </w:tc>
        <w:tc>
          <w:tcPr>
            <w:tcW w:w="2410" w:type="dxa"/>
            <w:vAlign w:val="center"/>
          </w:tcPr>
          <w:p w14:paraId="541BD4F4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公共艺术专业导论</w:t>
            </w:r>
            <w:r>
              <w:rPr>
                <w:rStyle w:val="font41"/>
                <w:lang w:bidi="ar"/>
              </w:rPr>
              <w:t>Introduction to public art major</w:t>
            </w:r>
          </w:p>
        </w:tc>
        <w:tc>
          <w:tcPr>
            <w:tcW w:w="992" w:type="dxa"/>
            <w:vAlign w:val="center"/>
          </w:tcPr>
          <w:p w14:paraId="541BD4F5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541BD4F6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1701" w:type="dxa"/>
          </w:tcPr>
          <w:p w14:paraId="541BD4F7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4FF" w14:textId="77777777">
        <w:trPr>
          <w:jc w:val="center"/>
        </w:trPr>
        <w:tc>
          <w:tcPr>
            <w:tcW w:w="809" w:type="dxa"/>
          </w:tcPr>
          <w:p w14:paraId="541BD4F9" w14:textId="77777777" w:rsidR="00196320" w:rsidRDefault="00196320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41BD4FA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113c85</w:t>
            </w:r>
          </w:p>
        </w:tc>
        <w:tc>
          <w:tcPr>
            <w:tcW w:w="2410" w:type="dxa"/>
            <w:vAlign w:val="center"/>
          </w:tcPr>
          <w:p w14:paraId="541BD4FB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设计素描</w:t>
            </w:r>
            <w:r>
              <w:rPr>
                <w:color w:val="000000"/>
                <w:kern w:val="0"/>
                <w:sz w:val="20"/>
                <w:szCs w:val="20"/>
                <w:lang w:bidi="ar"/>
              </w:rPr>
              <w:t>Design Sketch</w:t>
            </w:r>
          </w:p>
        </w:tc>
        <w:tc>
          <w:tcPr>
            <w:tcW w:w="992" w:type="dxa"/>
            <w:vAlign w:val="center"/>
          </w:tcPr>
          <w:p w14:paraId="541BD4FC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541BD4FD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01" w:type="dxa"/>
          </w:tcPr>
          <w:p w14:paraId="541BD4FE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06" w14:textId="77777777">
        <w:trPr>
          <w:jc w:val="center"/>
        </w:trPr>
        <w:tc>
          <w:tcPr>
            <w:tcW w:w="809" w:type="dxa"/>
          </w:tcPr>
          <w:p w14:paraId="541BD500" w14:textId="77777777" w:rsidR="00196320" w:rsidRDefault="00196320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41BD501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113c86</w:t>
            </w:r>
          </w:p>
        </w:tc>
        <w:tc>
          <w:tcPr>
            <w:tcW w:w="2410" w:type="dxa"/>
            <w:vAlign w:val="center"/>
          </w:tcPr>
          <w:p w14:paraId="541BD502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设计色彩</w:t>
            </w:r>
            <w:r>
              <w:rPr>
                <w:color w:val="000000"/>
                <w:kern w:val="0"/>
                <w:sz w:val="20"/>
                <w:szCs w:val="20"/>
                <w:lang w:bidi="ar"/>
              </w:rPr>
              <w:t>Design Color</w:t>
            </w:r>
          </w:p>
        </w:tc>
        <w:tc>
          <w:tcPr>
            <w:tcW w:w="992" w:type="dxa"/>
            <w:vAlign w:val="center"/>
          </w:tcPr>
          <w:p w14:paraId="541BD503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541BD504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01" w:type="dxa"/>
          </w:tcPr>
          <w:p w14:paraId="541BD505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0D" w14:textId="77777777">
        <w:trPr>
          <w:jc w:val="center"/>
        </w:trPr>
        <w:tc>
          <w:tcPr>
            <w:tcW w:w="809" w:type="dxa"/>
          </w:tcPr>
          <w:p w14:paraId="541BD507" w14:textId="77777777" w:rsidR="00196320" w:rsidRDefault="00196320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41BD508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113d42</w:t>
            </w:r>
          </w:p>
        </w:tc>
        <w:tc>
          <w:tcPr>
            <w:tcW w:w="2410" w:type="dxa"/>
            <w:vAlign w:val="center"/>
          </w:tcPr>
          <w:p w14:paraId="541BD509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计算机辅助设计</w:t>
            </w:r>
            <w:r>
              <w:rPr>
                <w:rFonts w:ascii="宋体-简" w:eastAsia="宋体-简" w:hAnsi="宋体-简" w:cs="宋体-简"/>
                <w:color w:val="000000"/>
                <w:kern w:val="0"/>
                <w:sz w:val="20"/>
                <w:szCs w:val="20"/>
                <w:lang w:bidi="ar"/>
              </w:rPr>
              <w:t>Ⅰ</w:t>
            </w:r>
            <w:r>
              <w:rPr>
                <w:rStyle w:val="font51"/>
                <w:lang w:bidi="ar"/>
              </w:rPr>
              <w:t xml:space="preserve"> Computer </w:t>
            </w:r>
            <w:proofErr w:type="spellStart"/>
            <w:r>
              <w:rPr>
                <w:rStyle w:val="font51"/>
                <w:lang w:bidi="ar"/>
              </w:rPr>
              <w:t>Software</w:t>
            </w:r>
            <w:r>
              <w:rPr>
                <w:rStyle w:val="font31"/>
                <w:rFonts w:hint="default"/>
                <w:lang w:bidi="ar"/>
              </w:rPr>
              <w:t>Ⅰ</w:t>
            </w:r>
            <w:proofErr w:type="spellEnd"/>
          </w:p>
        </w:tc>
        <w:tc>
          <w:tcPr>
            <w:tcW w:w="992" w:type="dxa"/>
            <w:vAlign w:val="center"/>
          </w:tcPr>
          <w:p w14:paraId="541BD50A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0B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0C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14" w14:textId="77777777">
        <w:trPr>
          <w:jc w:val="center"/>
        </w:trPr>
        <w:tc>
          <w:tcPr>
            <w:tcW w:w="809" w:type="dxa"/>
          </w:tcPr>
          <w:p w14:paraId="541BD50E" w14:textId="77777777" w:rsidR="00196320" w:rsidRDefault="00196320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9" w:type="dxa"/>
            <w:vAlign w:val="center"/>
          </w:tcPr>
          <w:p w14:paraId="541BD50F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113907</w:t>
            </w:r>
          </w:p>
        </w:tc>
        <w:tc>
          <w:tcPr>
            <w:tcW w:w="2410" w:type="dxa"/>
            <w:vAlign w:val="center"/>
          </w:tcPr>
          <w:p w14:paraId="541BD510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公共艺术概论</w:t>
            </w:r>
            <w:r>
              <w:rPr>
                <w:color w:val="000000"/>
                <w:kern w:val="0"/>
                <w:sz w:val="20"/>
                <w:szCs w:val="20"/>
                <w:lang w:bidi="ar"/>
              </w:rPr>
              <w:t>Introduction to public art</w:t>
            </w:r>
          </w:p>
        </w:tc>
        <w:tc>
          <w:tcPr>
            <w:tcW w:w="992" w:type="dxa"/>
            <w:vAlign w:val="center"/>
          </w:tcPr>
          <w:p w14:paraId="541BD511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12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13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541BD515" w14:textId="77777777" w:rsidR="00196320" w:rsidRDefault="00196320">
      <w:pPr>
        <w:ind w:firstLine="420"/>
        <w:rPr>
          <w:rFonts w:ascii="仿宋" w:eastAsia="仿宋" w:hAnsi="仿宋" w:hint="eastAsia"/>
        </w:rPr>
      </w:pPr>
    </w:p>
    <w:p w14:paraId="541BD516" w14:textId="77777777" w:rsidR="00196320" w:rsidRDefault="00104FE5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196320" w14:paraId="541BD51D" w14:textId="77777777">
        <w:trPr>
          <w:tblHeader/>
          <w:jc w:val="center"/>
        </w:trPr>
        <w:tc>
          <w:tcPr>
            <w:tcW w:w="812" w:type="dxa"/>
          </w:tcPr>
          <w:p w14:paraId="541BD517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541BD518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541BD519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541BD51A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541BD51B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541BD51C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96320" w14:paraId="541BD524" w14:textId="77777777">
        <w:trPr>
          <w:jc w:val="center"/>
        </w:trPr>
        <w:tc>
          <w:tcPr>
            <w:tcW w:w="812" w:type="dxa"/>
          </w:tcPr>
          <w:p w14:paraId="541BD51E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1F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113d41</w:t>
            </w:r>
          </w:p>
        </w:tc>
        <w:tc>
          <w:tcPr>
            <w:tcW w:w="2410" w:type="dxa"/>
            <w:vAlign w:val="center"/>
          </w:tcPr>
          <w:p w14:paraId="541BD520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设计基础</w:t>
            </w:r>
            <w:r>
              <w:rPr>
                <w:color w:val="000000"/>
                <w:kern w:val="0"/>
                <w:sz w:val="20"/>
                <w:szCs w:val="20"/>
                <w:lang w:bidi="ar"/>
              </w:rPr>
              <w:t>Design Basis</w:t>
            </w:r>
          </w:p>
        </w:tc>
        <w:tc>
          <w:tcPr>
            <w:tcW w:w="992" w:type="dxa"/>
            <w:vAlign w:val="center"/>
          </w:tcPr>
          <w:p w14:paraId="541BD521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541BD522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01" w:type="dxa"/>
          </w:tcPr>
          <w:p w14:paraId="541BD523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2B" w14:textId="77777777">
        <w:trPr>
          <w:jc w:val="center"/>
        </w:trPr>
        <w:tc>
          <w:tcPr>
            <w:tcW w:w="812" w:type="dxa"/>
          </w:tcPr>
          <w:p w14:paraId="541BD525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26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113d43</w:t>
            </w:r>
          </w:p>
        </w:tc>
        <w:tc>
          <w:tcPr>
            <w:tcW w:w="2410" w:type="dxa"/>
            <w:vAlign w:val="center"/>
          </w:tcPr>
          <w:p w14:paraId="541BD527" w14:textId="77777777" w:rsidR="00196320" w:rsidRDefault="00104FE5">
            <w:pPr>
              <w:widowControl/>
              <w:jc w:val="left"/>
              <w:textAlignment w:val="center"/>
              <w:rPr>
                <w:rFonts w:ascii="宋体-简" w:eastAsia="宋体-简" w:hAnsi="宋体-简" w:cs="宋体-简"/>
                <w:color w:val="000000"/>
                <w:sz w:val="20"/>
                <w:szCs w:val="20"/>
              </w:rPr>
            </w:pPr>
            <w:r>
              <w:rPr>
                <w:rFonts w:ascii="宋体-简" w:eastAsia="宋体-简" w:hAnsi="宋体-简" w:cs="宋体-简"/>
                <w:color w:val="000000"/>
                <w:kern w:val="0"/>
                <w:sz w:val="20"/>
                <w:szCs w:val="20"/>
                <w:lang w:bidi="ar"/>
              </w:rPr>
              <w:t>计算机辅助设计</w:t>
            </w:r>
            <w:r>
              <w:rPr>
                <w:rFonts w:ascii="宋体-简" w:eastAsia="宋体-简" w:hAnsi="宋体-简" w:cs="宋体-简"/>
                <w:color w:val="000000"/>
                <w:kern w:val="0"/>
                <w:sz w:val="20"/>
                <w:szCs w:val="20"/>
                <w:lang w:bidi="ar"/>
              </w:rPr>
              <w:t>Ⅱ</w:t>
            </w:r>
            <w:r>
              <w:rPr>
                <w:rFonts w:eastAsia="宋体-简"/>
                <w:color w:val="000000"/>
                <w:kern w:val="0"/>
                <w:sz w:val="20"/>
                <w:szCs w:val="20"/>
                <w:lang w:bidi="ar"/>
              </w:rPr>
              <w:t xml:space="preserve"> Computer Software II </w:t>
            </w:r>
          </w:p>
        </w:tc>
        <w:tc>
          <w:tcPr>
            <w:tcW w:w="992" w:type="dxa"/>
            <w:vAlign w:val="center"/>
          </w:tcPr>
          <w:p w14:paraId="541BD528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29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2A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32" w14:textId="77777777">
        <w:trPr>
          <w:jc w:val="center"/>
        </w:trPr>
        <w:tc>
          <w:tcPr>
            <w:tcW w:w="812" w:type="dxa"/>
          </w:tcPr>
          <w:p w14:paraId="541BD52C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2D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113d45</w:t>
            </w:r>
          </w:p>
        </w:tc>
        <w:tc>
          <w:tcPr>
            <w:tcW w:w="2410" w:type="dxa"/>
            <w:vAlign w:val="center"/>
          </w:tcPr>
          <w:p w14:paraId="541BD52E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图形设计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Graphic Design</w:t>
            </w:r>
          </w:p>
        </w:tc>
        <w:tc>
          <w:tcPr>
            <w:tcW w:w="992" w:type="dxa"/>
            <w:vAlign w:val="center"/>
          </w:tcPr>
          <w:p w14:paraId="541BD52F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30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31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39" w14:textId="77777777">
        <w:trPr>
          <w:jc w:val="center"/>
        </w:trPr>
        <w:tc>
          <w:tcPr>
            <w:tcW w:w="812" w:type="dxa"/>
          </w:tcPr>
          <w:p w14:paraId="541BD533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34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113314</w:t>
            </w:r>
          </w:p>
        </w:tc>
        <w:tc>
          <w:tcPr>
            <w:tcW w:w="2410" w:type="dxa"/>
            <w:vAlign w:val="center"/>
          </w:tcPr>
          <w:p w14:paraId="541BD535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设计概论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Conspectus of design</w:t>
            </w:r>
          </w:p>
        </w:tc>
        <w:tc>
          <w:tcPr>
            <w:tcW w:w="992" w:type="dxa"/>
            <w:vAlign w:val="center"/>
          </w:tcPr>
          <w:p w14:paraId="541BD536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37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38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40" w14:textId="77777777">
        <w:trPr>
          <w:jc w:val="center"/>
        </w:trPr>
        <w:tc>
          <w:tcPr>
            <w:tcW w:w="812" w:type="dxa"/>
          </w:tcPr>
          <w:p w14:paraId="541BD53A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3B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113d46</w:t>
            </w:r>
          </w:p>
        </w:tc>
        <w:tc>
          <w:tcPr>
            <w:tcW w:w="2410" w:type="dxa"/>
            <w:vAlign w:val="center"/>
          </w:tcPr>
          <w:p w14:paraId="541BD53C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设计美学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Design Esthetics</w:t>
            </w:r>
          </w:p>
        </w:tc>
        <w:tc>
          <w:tcPr>
            <w:tcW w:w="992" w:type="dxa"/>
            <w:vAlign w:val="center"/>
          </w:tcPr>
          <w:p w14:paraId="541BD53D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3E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3F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47" w14:textId="77777777">
        <w:trPr>
          <w:jc w:val="center"/>
        </w:trPr>
        <w:tc>
          <w:tcPr>
            <w:tcW w:w="812" w:type="dxa"/>
          </w:tcPr>
          <w:p w14:paraId="541BD541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42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113d54</w:t>
            </w:r>
          </w:p>
        </w:tc>
        <w:tc>
          <w:tcPr>
            <w:tcW w:w="2410" w:type="dxa"/>
            <w:vAlign w:val="center"/>
          </w:tcPr>
          <w:p w14:paraId="541BD543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插画设计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Illustration Design</w:t>
            </w:r>
          </w:p>
        </w:tc>
        <w:tc>
          <w:tcPr>
            <w:tcW w:w="992" w:type="dxa"/>
            <w:vAlign w:val="center"/>
          </w:tcPr>
          <w:p w14:paraId="541BD544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541BD545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01" w:type="dxa"/>
          </w:tcPr>
          <w:p w14:paraId="541BD546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196320" w14:paraId="541BD54E" w14:textId="77777777">
        <w:trPr>
          <w:jc w:val="center"/>
        </w:trPr>
        <w:tc>
          <w:tcPr>
            <w:tcW w:w="812" w:type="dxa"/>
          </w:tcPr>
          <w:p w14:paraId="541BD548" w14:textId="77777777" w:rsidR="00196320" w:rsidRDefault="00196320">
            <w:pPr>
              <w:pStyle w:val="a7"/>
              <w:numPr>
                <w:ilvl w:val="0"/>
                <w:numId w:val="4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56" w:type="dxa"/>
            <w:vAlign w:val="center"/>
          </w:tcPr>
          <w:p w14:paraId="541BD549" w14:textId="77777777" w:rsidR="00196320" w:rsidRDefault="00104FE5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>113c37</w:t>
            </w:r>
          </w:p>
        </w:tc>
        <w:tc>
          <w:tcPr>
            <w:tcW w:w="2410" w:type="dxa"/>
            <w:vAlign w:val="center"/>
          </w:tcPr>
          <w:p w14:paraId="541BD54A" w14:textId="77777777" w:rsidR="00196320" w:rsidRDefault="00104FE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绘画写生周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Painting week </w:t>
            </w:r>
          </w:p>
        </w:tc>
        <w:tc>
          <w:tcPr>
            <w:tcW w:w="992" w:type="dxa"/>
          </w:tcPr>
          <w:p w14:paraId="541BD54B" w14:textId="77777777" w:rsidR="00196320" w:rsidRDefault="00104F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41BD54C" w14:textId="77777777" w:rsidR="00196320" w:rsidRDefault="00104FE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</w:tcPr>
          <w:p w14:paraId="541BD54D" w14:textId="77777777" w:rsidR="00196320" w:rsidRDefault="00196320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541BD55A" w14:textId="77777777" w:rsidR="00196320" w:rsidRDefault="00196320" w:rsidP="0011654E">
      <w:pPr>
        <w:ind w:firstLine="420"/>
        <w:jc w:val="center"/>
      </w:pPr>
    </w:p>
    <w:sectPr w:rsidR="001963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A5A6" w14:textId="77777777" w:rsidR="00104FE5" w:rsidRDefault="00104FE5">
      <w:r>
        <w:separator/>
      </w:r>
    </w:p>
  </w:endnote>
  <w:endnote w:type="continuationSeparator" w:id="0">
    <w:p w14:paraId="52D2A053" w14:textId="77777777" w:rsidR="00104FE5" w:rsidRDefault="0010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简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61" w14:textId="77777777" w:rsidR="00196320" w:rsidRDefault="0019632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62" w14:textId="77777777" w:rsidR="00196320" w:rsidRDefault="0019632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64" w14:textId="77777777" w:rsidR="00196320" w:rsidRDefault="001963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66A1" w14:textId="77777777" w:rsidR="00104FE5" w:rsidRDefault="00104FE5">
      <w:r>
        <w:separator/>
      </w:r>
    </w:p>
  </w:footnote>
  <w:footnote w:type="continuationSeparator" w:id="0">
    <w:p w14:paraId="58090FED" w14:textId="77777777" w:rsidR="00104FE5" w:rsidRDefault="0010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5F" w14:textId="77777777" w:rsidR="00196320" w:rsidRDefault="00196320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60" w14:textId="77777777" w:rsidR="00196320" w:rsidRDefault="0019632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D563" w14:textId="77777777" w:rsidR="00196320" w:rsidRDefault="001963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23222D"/>
    <w:multiLevelType w:val="singleLevel"/>
    <w:tmpl w:val="9023222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4122AF3"/>
    <w:multiLevelType w:val="singleLevel"/>
    <w:tmpl w:val="D4122AF3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2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48915895">
    <w:abstractNumId w:val="0"/>
  </w:num>
  <w:num w:numId="2" w16cid:durableId="199168378">
    <w:abstractNumId w:val="1"/>
  </w:num>
  <w:num w:numId="3" w16cid:durableId="506676885">
    <w:abstractNumId w:val="2"/>
  </w:num>
  <w:num w:numId="4" w16cid:durableId="1413040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B0B46"/>
    <w:rsid w:val="00104FE5"/>
    <w:rsid w:val="0011654E"/>
    <w:rsid w:val="00196320"/>
    <w:rsid w:val="001C3A92"/>
    <w:rsid w:val="002706D2"/>
    <w:rsid w:val="002B63E7"/>
    <w:rsid w:val="00417E94"/>
    <w:rsid w:val="005E0B16"/>
    <w:rsid w:val="005F7C87"/>
    <w:rsid w:val="00715967"/>
    <w:rsid w:val="00727CFE"/>
    <w:rsid w:val="00757A83"/>
    <w:rsid w:val="007C3AAB"/>
    <w:rsid w:val="0080583F"/>
    <w:rsid w:val="008A0FA8"/>
    <w:rsid w:val="009016E1"/>
    <w:rsid w:val="00B82278"/>
    <w:rsid w:val="00C8493E"/>
    <w:rsid w:val="00E16B67"/>
    <w:rsid w:val="2DA97EE2"/>
    <w:rsid w:val="304B1A98"/>
    <w:rsid w:val="30AE54F5"/>
    <w:rsid w:val="37F4701F"/>
    <w:rsid w:val="3C001B3A"/>
    <w:rsid w:val="4C2A5668"/>
    <w:rsid w:val="4F740CAC"/>
    <w:rsid w:val="50D567D3"/>
    <w:rsid w:val="5982373F"/>
    <w:rsid w:val="5E3860C8"/>
    <w:rsid w:val="689E0944"/>
    <w:rsid w:val="6A6D4CC9"/>
    <w:rsid w:val="6AE5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BD4DF"/>
  <w15:docId w15:val="{E3EC9E1E-B494-43AE-9658-FFFC86E5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12</cp:revision>
  <dcterms:created xsi:type="dcterms:W3CDTF">2019-05-07T01:08:00Z</dcterms:created>
  <dcterms:modified xsi:type="dcterms:W3CDTF">2026-04-01T08:10:00Z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eyJoZGlkIjoiNGVhOTVlODk1MmUxMWE1NjE1Yjg1OTQyZGQ0NDBmOWMiLCJ1c2VySWQiOiIyNDE0NTY1MzIifQ==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271A5C907F10412FB08B9C3A4FF2A442_13</vt:lpwstr>
  </property>
</Properties>
</file>