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00" w:lineRule="auto"/>
        <w:ind w:left="420" w:leftChars="200"/>
        <w:jc w:val="center"/>
        <w:rPr>
          <w:rFonts w:ascii="宋体" w:hAnsi="宋体"/>
          <w:b w:val="0"/>
          <w:color w:val="FF0000"/>
          <w:spacing w:val="-4"/>
          <w:w w:val="83"/>
          <w:sz w:val="110"/>
          <w:szCs w:val="110"/>
        </w:rPr>
      </w:pPr>
      <w:r>
        <w:rPr>
          <w:rFonts w:ascii="宋体" w:hAnsi="宋体"/>
          <w:b w:val="0"/>
          <w:color w:val="FF0000"/>
          <w:spacing w:val="-4"/>
          <w:w w:val="83"/>
          <w:sz w:val="110"/>
          <w:szCs w:val="110"/>
        </w:rPr>
        <mc:AlternateContent>
          <mc:Choice Requires="wps">
            <w:drawing>
              <wp:anchor distT="0" distB="0" distL="114300" distR="114300" simplePos="0" relativeHeight="251657216" behindDoc="0" locked="0" layoutInCell="1" allowOverlap="1">
                <wp:simplePos x="0" y="0"/>
                <wp:positionH relativeFrom="column">
                  <wp:align>center</wp:align>
                </wp:positionH>
                <wp:positionV relativeFrom="paragraph">
                  <wp:posOffset>1981200</wp:posOffset>
                </wp:positionV>
                <wp:extent cx="5819775" cy="0"/>
                <wp:effectExtent l="3175" t="0" r="0" b="1270"/>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a:noFill/>
                        </a:ln>
                      </wps:spPr>
                      <wps:bodyPr/>
                    </wps:wsp>
                  </a:graphicData>
                </a:graphic>
              </wp:anchor>
            </w:drawing>
          </mc:Choice>
          <mc:Fallback>
            <w:pict>
              <v:line id="Line 2" o:spid="_x0000_s1026" o:spt="20" style="position:absolute;left:0pt;margin-top:156pt;height:0pt;width:458.25pt;mso-position-horizontal:center;z-index:251657216;mso-width-relative:page;mso-height-relative:page;" filled="f" stroked="f" coordsize="21600,21600" o:gfxdata="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CYEALe1wAAAAgBAAAPAAAAAAAAAAEAIAAAACIAAABkcnMvZG93bnJl&#10;di54bWxQSwECFAAUAAAACACHTuJAqlFFNYwBAAAVAwAADgAAAAAAAAABACAAAAAmAQAAZHJzL2Uy&#10;b0RvYy54bWxQSwUGAAAAAAYABgBZAQAAJAUAAAAA&#10;">
                <v:fill on="f" focussize="0,0"/>
                <v:stroke on="f"/>
                <v:imagedata o:title=""/>
                <o:lock v:ext="edit" aspectratio="f"/>
              </v:line>
            </w:pict>
          </mc:Fallback>
        </mc:AlternateContent>
      </w:r>
      <w:r>
        <w:rPr>
          <w:rFonts w:hint="eastAsia" w:ascii="宋体" w:hAnsi="宋体"/>
          <w:b w:val="0"/>
          <w:color w:val="FF0000"/>
          <w:spacing w:val="-4"/>
          <w:w w:val="83"/>
          <w:sz w:val="110"/>
          <w:szCs w:val="110"/>
        </w:rPr>
        <w:t>三江学院教务处文件</w:t>
      </w:r>
    </w:p>
    <w:p>
      <w:pPr>
        <w:spacing w:line="300" w:lineRule="auto"/>
        <w:jc w:val="center"/>
        <w:rPr>
          <w:rFonts w:eastAsia="仿宋_GB2312"/>
          <w:sz w:val="32"/>
        </w:rPr>
      </w:pPr>
      <w:r>
        <w:rPr>
          <w:rFonts w:hint="eastAsia" w:eastAsia="仿宋_GB2312"/>
          <w:sz w:val="32"/>
        </w:rPr>
        <w:t>教字〔</w:t>
      </w:r>
      <w:r>
        <w:rPr>
          <w:rFonts w:eastAsia="仿宋_GB2312"/>
          <w:sz w:val="32"/>
        </w:rPr>
        <w:t>2</w:t>
      </w:r>
      <w:r>
        <w:rPr>
          <w:rFonts w:hint="eastAsia" w:eastAsia="仿宋_GB2312"/>
          <w:sz w:val="32"/>
        </w:rPr>
        <w:t>0</w:t>
      </w:r>
      <w:r>
        <w:rPr>
          <w:rFonts w:eastAsia="仿宋_GB2312"/>
          <w:sz w:val="32"/>
        </w:rPr>
        <w:t>20</w:t>
      </w:r>
      <w:r>
        <w:rPr>
          <w:rFonts w:hint="eastAsia" w:eastAsia="仿宋_GB2312"/>
          <w:sz w:val="32"/>
        </w:rPr>
        <w:t>〕</w:t>
      </w:r>
      <w:r>
        <w:rPr>
          <w:rFonts w:hint="eastAsia" w:eastAsia="仿宋_GB2312"/>
          <w:sz w:val="32"/>
          <w:lang w:val="en-US" w:eastAsia="zh-CN"/>
        </w:rPr>
        <w:t>17</w:t>
      </w:r>
      <w:r>
        <w:rPr>
          <w:rFonts w:hint="eastAsia" w:eastAsia="仿宋_GB2312"/>
          <w:sz w:val="32"/>
        </w:rPr>
        <w:t>号</w:t>
      </w:r>
    </w:p>
    <w:p>
      <w:pPr>
        <w:spacing w:line="300" w:lineRule="auto"/>
        <w:rPr>
          <w:rFonts w:eastAsia="仿宋_GB2312"/>
          <w:color w:val="FF0000"/>
          <w:sz w:val="32"/>
          <w:u w:val="thick"/>
        </w:rPr>
      </w:pPr>
      <w:r>
        <w:rPr>
          <w:rFonts w:hint="eastAsia" w:eastAsia="仿宋_GB2312"/>
          <w:color w:val="FFFFFF"/>
          <w:sz w:val="32"/>
          <w:u w:val="thick"/>
        </w:rPr>
        <w:t xml:space="preserve"> </w:t>
      </w:r>
      <w:r>
        <w:rPr>
          <w:rFonts w:hint="eastAsia" w:eastAsia="仿宋_GB2312"/>
          <w:color w:val="FF0000"/>
          <w:sz w:val="32"/>
          <w:u w:val="thick"/>
        </w:rPr>
        <w:t xml:space="preserve">                                                       </w:t>
      </w:r>
    </w:p>
    <w:p>
      <w:pPr>
        <w:widowControl/>
        <w:spacing w:line="500" w:lineRule="exact"/>
        <w:jc w:val="center"/>
        <w:rPr>
          <w:rFonts w:ascii="宋体" w:hAnsi="宋体" w:cs="宋体"/>
          <w:b/>
          <w:color w:val="000000"/>
          <w:kern w:val="0"/>
          <w:sz w:val="28"/>
        </w:rPr>
      </w:pPr>
      <w:r>
        <w:rPr>
          <w:rFonts w:hint="eastAsia" w:ascii="宋体" w:hAnsi="宋体" w:cs="宋体"/>
          <w:b/>
          <w:color w:val="000000"/>
          <w:kern w:val="0"/>
          <w:sz w:val="28"/>
        </w:rPr>
        <w:t>关于开展2020年线下、线上线下混合式、社会实践校级</w:t>
      </w:r>
    </w:p>
    <w:p>
      <w:pPr>
        <w:widowControl/>
        <w:spacing w:line="500" w:lineRule="exact"/>
        <w:jc w:val="center"/>
        <w:rPr>
          <w:rFonts w:ascii="宋体" w:hAnsi="宋体" w:cs="宋体"/>
          <w:b/>
          <w:color w:val="000000"/>
          <w:kern w:val="0"/>
          <w:sz w:val="28"/>
        </w:rPr>
      </w:pPr>
      <w:r>
        <w:rPr>
          <w:rFonts w:hint="eastAsia" w:ascii="宋体" w:hAnsi="宋体" w:cs="宋体"/>
          <w:b/>
          <w:color w:val="000000"/>
          <w:kern w:val="0"/>
          <w:sz w:val="28"/>
        </w:rPr>
        <w:t>一流本科课程申报工作的通知</w:t>
      </w:r>
    </w:p>
    <w:p>
      <w:pPr>
        <w:widowControl/>
        <w:spacing w:line="500" w:lineRule="exact"/>
        <w:rPr>
          <w:rFonts w:ascii="宋体" w:hAnsi="宋体" w:cs="宋体"/>
          <w:kern w:val="0"/>
          <w:sz w:val="24"/>
        </w:rPr>
      </w:pPr>
      <w:r>
        <w:rPr>
          <w:rFonts w:hint="eastAsia" w:ascii="宋体" w:hAnsi="宋体" w:cs="宋体"/>
          <w:kern w:val="0"/>
          <w:sz w:val="24"/>
        </w:rPr>
        <w:t>各教学单位：</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根据《教育部</w:t>
      </w:r>
      <w:r>
        <w:rPr>
          <w:rFonts w:ascii="宋体" w:hAnsi="宋体" w:cs="宋体"/>
          <w:kern w:val="0"/>
          <w:sz w:val="24"/>
        </w:rPr>
        <w:t>关于</w:t>
      </w:r>
      <w:r>
        <w:rPr>
          <w:rFonts w:hint="eastAsia" w:ascii="宋体" w:hAnsi="宋体" w:cs="宋体"/>
          <w:kern w:val="0"/>
          <w:sz w:val="24"/>
        </w:rPr>
        <w:t>一流</w:t>
      </w:r>
      <w:r>
        <w:rPr>
          <w:rFonts w:ascii="宋体" w:hAnsi="宋体" w:cs="宋体"/>
          <w:kern w:val="0"/>
          <w:sz w:val="24"/>
        </w:rPr>
        <w:t>本科课程建设的实施意见</w:t>
      </w:r>
      <w:r>
        <w:rPr>
          <w:rFonts w:hint="eastAsia" w:ascii="宋体" w:hAnsi="宋体" w:cs="宋体"/>
          <w:kern w:val="0"/>
          <w:sz w:val="24"/>
        </w:rPr>
        <w:t>》的文件</w:t>
      </w:r>
      <w:r>
        <w:rPr>
          <w:rFonts w:ascii="宋体" w:hAnsi="宋体" w:cs="宋体"/>
          <w:kern w:val="0"/>
          <w:sz w:val="24"/>
        </w:rPr>
        <w:t>精神</w:t>
      </w:r>
      <w:r>
        <w:rPr>
          <w:rFonts w:hint="eastAsia" w:ascii="宋体" w:hAnsi="宋体" w:cs="宋体"/>
          <w:kern w:val="0"/>
          <w:sz w:val="24"/>
        </w:rPr>
        <w:t>，</w:t>
      </w:r>
      <w:r>
        <w:rPr>
          <w:rFonts w:hint="eastAsia" w:ascii="宋体" w:hAnsi="宋体"/>
          <w:color w:val="000000"/>
          <w:sz w:val="24"/>
          <w:shd w:val="clear" w:color="auto" w:fill="FFFFFF"/>
        </w:rPr>
        <w:t>贯彻落实一流课程建设推进计划，推动学校课程建设的优化升级与规划布局，深入推进课堂教学改革，切实提高教学水平和教学质量，学校现启动</w:t>
      </w:r>
      <w:r>
        <w:rPr>
          <w:rFonts w:ascii="宋体" w:hAnsi="宋体"/>
          <w:color w:val="000000"/>
          <w:sz w:val="24"/>
          <w:shd w:val="clear" w:color="auto" w:fill="FFFFFF"/>
        </w:rPr>
        <w:t>20</w:t>
      </w:r>
      <w:r>
        <w:rPr>
          <w:rFonts w:hint="eastAsia" w:ascii="宋体" w:hAnsi="宋体"/>
          <w:color w:val="000000"/>
          <w:sz w:val="24"/>
          <w:shd w:val="clear" w:color="auto" w:fill="FFFFFF"/>
        </w:rPr>
        <w:t>20年校级线下、线上线下混合式、社会实践一流</w:t>
      </w:r>
      <w:r>
        <w:rPr>
          <w:rFonts w:hint="eastAsia" w:ascii="宋体" w:hAnsi="宋体"/>
          <w:color w:val="000000"/>
          <w:sz w:val="24"/>
          <w:shd w:val="clear" w:color="auto" w:fill="FFFFFF"/>
          <w:lang w:eastAsia="zh-CN"/>
        </w:rPr>
        <w:t>本科</w:t>
      </w:r>
      <w:r>
        <w:rPr>
          <w:rFonts w:hint="eastAsia" w:ascii="宋体" w:hAnsi="宋体"/>
          <w:color w:val="000000"/>
          <w:sz w:val="24"/>
          <w:shd w:val="clear" w:color="auto" w:fill="FFFFFF"/>
        </w:rPr>
        <w:t>课程的申报工作，现将有关事宜通知如下：</w:t>
      </w:r>
      <w:r>
        <w:rPr>
          <w:rFonts w:ascii="宋体" w:hAnsi="宋体" w:cs="宋体"/>
          <w:kern w:val="0"/>
          <w:sz w:val="24"/>
        </w:rPr>
        <w:t xml:space="preserve"> </w:t>
      </w:r>
    </w:p>
    <w:p>
      <w:pPr>
        <w:widowControl/>
        <w:spacing w:line="500" w:lineRule="exact"/>
        <w:ind w:firstLine="482" w:firstLineChars="200"/>
        <w:rPr>
          <w:rFonts w:ascii="宋体" w:hAnsi="宋体" w:cs="宋体"/>
          <w:kern w:val="0"/>
          <w:sz w:val="24"/>
        </w:rPr>
      </w:pPr>
      <w:r>
        <w:rPr>
          <w:rFonts w:hint="eastAsia" w:ascii="宋体" w:hAnsi="宋体" w:cs="宋体"/>
          <w:b/>
          <w:bCs/>
          <w:kern w:val="0"/>
          <w:sz w:val="24"/>
        </w:rPr>
        <w:t>一、申报范围</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纳入我校人才培养方案且设置学分的本科课程均可</w:t>
      </w:r>
      <w:r>
        <w:rPr>
          <w:rFonts w:hint="eastAsia" w:ascii="宋体" w:hAnsi="宋体" w:cs="宋体"/>
          <w:kern w:val="0"/>
          <w:sz w:val="24"/>
          <w:lang w:eastAsia="zh-CN"/>
        </w:rPr>
        <w:t>申报</w:t>
      </w:r>
      <w:r>
        <w:rPr>
          <w:rFonts w:hint="eastAsia" w:ascii="宋体" w:hAnsi="宋体" w:cs="宋体"/>
          <w:kern w:val="0"/>
          <w:sz w:val="24"/>
        </w:rPr>
        <w:t>，包括通识通修课程、学科专业课程、专业（职业）方向课程、实践课程等独立设置的本科课程等。</w:t>
      </w:r>
    </w:p>
    <w:p>
      <w:pPr>
        <w:widowControl/>
        <w:spacing w:line="500" w:lineRule="exact"/>
        <w:ind w:firstLine="482" w:firstLineChars="200"/>
        <w:rPr>
          <w:rFonts w:ascii="宋体" w:hAnsi="宋体" w:cs="宋体"/>
          <w:kern w:val="0"/>
          <w:sz w:val="24"/>
        </w:rPr>
      </w:pPr>
      <w:r>
        <w:rPr>
          <w:rFonts w:hint="eastAsia" w:ascii="宋体" w:hAnsi="宋体" w:cs="宋体"/>
          <w:b/>
          <w:bCs/>
          <w:kern w:val="0"/>
          <w:sz w:val="24"/>
        </w:rPr>
        <w:t>二、申报类型</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（一）</w:t>
      </w:r>
      <w:r>
        <w:rPr>
          <w:rFonts w:hint="eastAsia" w:ascii="宋体" w:hAnsi="宋体" w:cs="宋体"/>
          <w:b/>
          <w:bCs/>
          <w:kern w:val="0"/>
          <w:sz w:val="24"/>
        </w:rPr>
        <w:t>线下一流课程。</w:t>
      </w:r>
      <w:r>
        <w:rPr>
          <w:rFonts w:hint="eastAsia" w:ascii="宋体" w:hAnsi="宋体" w:cs="宋体"/>
          <w:kern w:val="0"/>
          <w:sz w:val="24"/>
        </w:rPr>
        <w:t>主要指以面授为主的课程，以提升学生综合能力为重点，重塑课程内容，创新教学方法，打破课堂沉默状态，焕发课堂生机活力，较好发挥课堂教学主阵地、主渠道、主战场作用。</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（二）</w:t>
      </w:r>
      <w:r>
        <w:rPr>
          <w:rFonts w:hint="eastAsia" w:ascii="宋体" w:hAnsi="宋体" w:cs="宋体"/>
          <w:b/>
          <w:bCs/>
          <w:kern w:val="0"/>
          <w:sz w:val="24"/>
        </w:rPr>
        <w:t>线上线下混合式一流课程。</w:t>
      </w:r>
      <w:r>
        <w:rPr>
          <w:rFonts w:hint="eastAsia" w:ascii="宋体" w:hAnsi="宋体" w:cs="宋体"/>
          <w:kern w:val="0"/>
          <w:sz w:val="24"/>
        </w:rPr>
        <w:t>主要指基于慕课、专属在线课程（</w:t>
      </w:r>
      <w:r>
        <w:rPr>
          <w:rFonts w:ascii="宋体" w:hAnsi="宋体"/>
          <w:kern w:val="0"/>
          <w:sz w:val="24"/>
        </w:rPr>
        <w:t>SPOC</w:t>
      </w:r>
      <w:r>
        <w:rPr>
          <w:rFonts w:hint="eastAsia" w:ascii="宋体" w:hAnsi="宋体" w:cs="宋体"/>
          <w:kern w:val="0"/>
          <w:sz w:val="24"/>
        </w:rPr>
        <w:t>）或其他在线课程，运用适当的数字化教学工具，结合本校实际对校内课程进行改造，安排</w:t>
      </w:r>
      <w:r>
        <w:rPr>
          <w:rFonts w:ascii="宋体" w:hAnsi="宋体"/>
          <w:kern w:val="0"/>
          <w:sz w:val="24"/>
        </w:rPr>
        <w:t>20%—50%</w:t>
      </w:r>
      <w:r>
        <w:rPr>
          <w:rFonts w:hint="eastAsia" w:ascii="宋体" w:hAnsi="宋体" w:cs="宋体"/>
          <w:kern w:val="0"/>
          <w:sz w:val="24"/>
        </w:rPr>
        <w:t>的教学时间实施学生线上自主学习，与线下面授有机结合开展翻转课堂、混合式教学，打造在线课程与本校课堂教学相融合的混合式</w:t>
      </w:r>
      <w:r>
        <w:rPr>
          <w:rFonts w:ascii="宋体" w:hAnsi="宋体"/>
          <w:kern w:val="0"/>
          <w:sz w:val="24"/>
        </w:rPr>
        <w:t>“</w:t>
      </w:r>
      <w:r>
        <w:rPr>
          <w:rFonts w:hint="eastAsia" w:ascii="宋体" w:hAnsi="宋体" w:cs="宋体"/>
          <w:kern w:val="0"/>
          <w:sz w:val="24"/>
        </w:rPr>
        <w:t>金课</w:t>
      </w:r>
      <w:r>
        <w:rPr>
          <w:rFonts w:ascii="宋体" w:hAnsi="宋体"/>
          <w:kern w:val="0"/>
          <w:sz w:val="24"/>
        </w:rPr>
        <w:t>”</w:t>
      </w:r>
      <w:r>
        <w:rPr>
          <w:rFonts w:hint="eastAsia" w:ascii="宋体" w:hAnsi="宋体" w:cs="宋体"/>
          <w:kern w:val="0"/>
          <w:sz w:val="24"/>
        </w:rPr>
        <w:t>。</w:t>
      </w:r>
      <w:r>
        <w:rPr>
          <w:rFonts w:ascii="宋体" w:hAnsi="宋体" w:cs="宋体"/>
          <w:kern w:val="0"/>
          <w:sz w:val="24"/>
        </w:rPr>
        <w:t xml:space="preserve"> </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（三）</w:t>
      </w:r>
      <w:r>
        <w:rPr>
          <w:rFonts w:hint="eastAsia" w:ascii="宋体" w:hAnsi="宋体" w:cs="宋体"/>
          <w:b/>
          <w:bCs/>
          <w:kern w:val="0"/>
          <w:sz w:val="24"/>
        </w:rPr>
        <w:t>社会实践一流课程。</w:t>
      </w:r>
      <w:r>
        <w:rPr>
          <w:rFonts w:hint="eastAsia" w:ascii="宋体" w:hAnsi="宋体" w:cs="宋体"/>
          <w:kern w:val="0"/>
          <w:sz w:val="24"/>
        </w:rPr>
        <w:t>以培养学生综合能力为目标，通过</w:t>
      </w:r>
      <w:r>
        <w:rPr>
          <w:rFonts w:ascii="宋体" w:hAnsi="宋体"/>
          <w:kern w:val="0"/>
          <w:sz w:val="24"/>
        </w:rPr>
        <w:t>“</w:t>
      </w:r>
      <w:r>
        <w:rPr>
          <w:rFonts w:hint="eastAsia" w:ascii="宋体" w:hAnsi="宋体" w:cs="宋体"/>
          <w:kern w:val="0"/>
          <w:sz w:val="24"/>
        </w:rPr>
        <w:t>青年红色筑梦之旅</w:t>
      </w:r>
      <w:r>
        <w:rPr>
          <w:rFonts w:ascii="宋体" w:hAnsi="宋体"/>
          <w:kern w:val="0"/>
          <w:sz w:val="24"/>
        </w:rPr>
        <w:t>”</w:t>
      </w:r>
      <w:r>
        <w:rPr>
          <w:rFonts w:hint="eastAsia" w:ascii="宋体" w:hAnsi="宋体" w:cs="宋体"/>
          <w:kern w:val="0"/>
          <w:sz w:val="24"/>
        </w:rPr>
        <w:t>、</w:t>
      </w:r>
      <w:r>
        <w:rPr>
          <w:rFonts w:ascii="宋体" w:hAnsi="宋体"/>
          <w:kern w:val="0"/>
          <w:sz w:val="24"/>
        </w:rPr>
        <w:t>“</w:t>
      </w:r>
      <w:r>
        <w:rPr>
          <w:rFonts w:hint="eastAsia" w:ascii="宋体" w:hAnsi="宋体" w:cs="宋体"/>
          <w:kern w:val="0"/>
          <w:sz w:val="24"/>
        </w:rPr>
        <w:t>互联网＋</w:t>
      </w:r>
      <w:r>
        <w:rPr>
          <w:rFonts w:ascii="宋体" w:hAnsi="宋体"/>
          <w:kern w:val="0"/>
          <w:sz w:val="24"/>
        </w:rPr>
        <w:t>”</w:t>
      </w:r>
      <w:r>
        <w:rPr>
          <w:rFonts w:hint="eastAsia" w:ascii="宋体" w:hAnsi="宋体" w:cs="宋体"/>
          <w:kern w:val="0"/>
          <w:sz w:val="24"/>
        </w:rPr>
        <w:t>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w:t>
      </w:r>
      <w:r>
        <w:rPr>
          <w:rFonts w:ascii="宋体" w:hAnsi="宋体"/>
          <w:kern w:val="0"/>
          <w:sz w:val="24"/>
        </w:rPr>
        <w:t>70%</w:t>
      </w:r>
      <w:r>
        <w:rPr>
          <w:rFonts w:hint="eastAsia" w:ascii="宋体" w:hAnsi="宋体" w:cs="宋体"/>
          <w:kern w:val="0"/>
          <w:sz w:val="24"/>
        </w:rPr>
        <w:t>以上学时深入基层，保证课程规范化和可持续发展。</w:t>
      </w:r>
    </w:p>
    <w:p>
      <w:pPr>
        <w:widowControl/>
        <w:spacing w:line="500" w:lineRule="exact"/>
        <w:ind w:firstLine="482" w:firstLineChars="200"/>
        <w:rPr>
          <w:rFonts w:ascii="宋体" w:hAnsi="宋体" w:cs="宋体"/>
          <w:kern w:val="0"/>
          <w:sz w:val="24"/>
        </w:rPr>
      </w:pPr>
      <w:r>
        <w:rPr>
          <w:rFonts w:hint="eastAsia" w:ascii="宋体" w:hAnsi="宋体" w:cs="宋体"/>
          <w:b/>
          <w:bCs/>
          <w:color w:val="313131"/>
          <w:kern w:val="0"/>
          <w:sz w:val="24"/>
        </w:rPr>
        <w:t>三、申报数量</w:t>
      </w:r>
    </w:p>
    <w:p>
      <w:pPr>
        <w:widowControl/>
        <w:shd w:val="clear" w:color="auto" w:fill="FFFFFF"/>
        <w:spacing w:line="500" w:lineRule="exact"/>
        <w:ind w:firstLine="480" w:firstLineChars="200"/>
        <w:rPr>
          <w:rFonts w:hint="eastAsia" w:ascii="宋体" w:hAnsi="宋体" w:cs="Times New Roman"/>
          <w:color w:val="000000"/>
          <w:kern w:val="2"/>
          <w:sz w:val="24"/>
          <w:shd w:val="clear"/>
          <w:lang w:eastAsia="zh-CN"/>
        </w:rPr>
      </w:pPr>
      <w:r>
        <w:rPr>
          <w:rFonts w:hint="eastAsia" w:ascii="宋体" w:hAnsi="宋体" w:cs="Times New Roman"/>
          <w:color w:val="000000"/>
          <w:kern w:val="2"/>
          <w:sz w:val="24"/>
          <w:shd w:val="clear"/>
        </w:rPr>
        <w:t>线下一流课程、线上线下混合式一流课程和社会实践一流课程申报工作采取择优推荐</w:t>
      </w:r>
      <w:r>
        <w:rPr>
          <w:rFonts w:hint="eastAsia" w:ascii="宋体" w:hAnsi="宋体" w:cs="Times New Roman"/>
          <w:color w:val="000000"/>
          <w:kern w:val="2"/>
          <w:sz w:val="24"/>
          <w:shd w:val="clear"/>
          <w:lang w:eastAsia="zh-CN"/>
        </w:rPr>
        <w:t>并培育</w:t>
      </w:r>
      <w:r>
        <w:rPr>
          <w:rFonts w:hint="eastAsia" w:ascii="宋体" w:hAnsi="宋体" w:cs="Times New Roman"/>
          <w:color w:val="000000"/>
          <w:kern w:val="2"/>
          <w:sz w:val="24"/>
          <w:shd w:val="clear"/>
        </w:rPr>
        <w:t>的办法，各教学单位结合本年度重点工作目标任务以及课程建设规划积极组织申报</w:t>
      </w:r>
      <w:r>
        <w:rPr>
          <w:rFonts w:hint="eastAsia" w:ascii="宋体" w:hAnsi="宋体" w:cs="Times New Roman"/>
          <w:color w:val="000000"/>
          <w:kern w:val="2"/>
          <w:sz w:val="24"/>
          <w:shd w:val="clear"/>
          <w:lang w:eastAsia="zh-CN"/>
        </w:rPr>
        <w:t>。</w:t>
      </w:r>
    </w:p>
    <w:p>
      <w:pPr>
        <w:widowControl/>
        <w:numPr>
          <w:ilvl w:val="0"/>
          <w:numId w:val="1"/>
        </w:numPr>
        <w:shd w:val="clear" w:color="auto" w:fill="FFFFFF"/>
        <w:spacing w:line="500" w:lineRule="exact"/>
        <w:ind w:firstLine="480" w:firstLineChars="200"/>
        <w:rPr>
          <w:rFonts w:hint="eastAsia" w:ascii="宋体" w:hAnsi="宋体" w:cs="Times New Roman"/>
          <w:color w:val="000000"/>
          <w:kern w:val="2"/>
          <w:sz w:val="24"/>
          <w:shd w:val="clear"/>
          <w:lang w:val="en-US" w:eastAsia="zh-CN"/>
        </w:rPr>
      </w:pPr>
      <w:r>
        <w:rPr>
          <w:rFonts w:hint="eastAsia" w:ascii="宋体" w:hAnsi="宋体" w:cs="Times New Roman"/>
          <w:color w:val="000000"/>
          <w:kern w:val="2"/>
          <w:sz w:val="24"/>
          <w:shd w:val="clear"/>
          <w:lang w:val="en-US" w:eastAsia="zh-CN"/>
        </w:rPr>
        <w:t>基础教学单位至少申报1门，申报类型不限；</w:t>
      </w:r>
    </w:p>
    <w:p>
      <w:pPr>
        <w:widowControl/>
        <w:numPr>
          <w:ilvl w:val="0"/>
          <w:numId w:val="1"/>
        </w:numPr>
        <w:shd w:val="clear" w:color="auto" w:fill="FFFFFF"/>
        <w:spacing w:line="500" w:lineRule="exact"/>
        <w:ind w:firstLine="480" w:firstLineChars="200"/>
        <w:rPr>
          <w:rFonts w:hint="default" w:ascii="宋体" w:hAnsi="宋体" w:cs="Times New Roman"/>
          <w:color w:val="000000"/>
          <w:kern w:val="2"/>
          <w:sz w:val="24"/>
          <w:shd w:val="clear"/>
          <w:lang w:val="en-US" w:eastAsia="zh-CN"/>
        </w:rPr>
      </w:pPr>
      <w:r>
        <w:rPr>
          <w:rFonts w:hint="eastAsia" w:ascii="宋体" w:hAnsi="宋体" w:cs="Times New Roman"/>
          <w:color w:val="000000"/>
          <w:kern w:val="2"/>
          <w:sz w:val="24"/>
          <w:shd w:val="clear"/>
          <w:lang w:val="en-US" w:eastAsia="zh-CN"/>
        </w:rPr>
        <w:t>二级学院至少申报2门（1门线下、1门线上线下混合式），优先推荐隶属于一流专业的课程申报。</w:t>
      </w:r>
    </w:p>
    <w:p>
      <w:pPr>
        <w:widowControl/>
        <w:spacing w:line="500" w:lineRule="exact"/>
        <w:ind w:firstLine="482" w:firstLineChars="200"/>
        <w:rPr>
          <w:rFonts w:ascii="宋体" w:hAnsi="宋体" w:cs="宋体"/>
          <w:kern w:val="0"/>
          <w:sz w:val="24"/>
        </w:rPr>
      </w:pPr>
      <w:r>
        <w:rPr>
          <w:rFonts w:hint="eastAsia" w:ascii="宋体" w:hAnsi="宋体" w:cs="宋体"/>
          <w:b/>
          <w:bCs/>
          <w:kern w:val="0"/>
          <w:sz w:val="24"/>
        </w:rPr>
        <w:t>四、申报要求</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（一）</w:t>
      </w:r>
      <w:r>
        <w:rPr>
          <w:rFonts w:hint="eastAsia" w:ascii="宋体" w:hAnsi="宋体"/>
          <w:color w:val="000000"/>
          <w:sz w:val="24"/>
        </w:rPr>
        <w:t>申报课程名称须与教务系统显示课程名称一致，</w:t>
      </w:r>
      <w:r>
        <w:rPr>
          <w:rFonts w:hint="eastAsia" w:ascii="宋体" w:hAnsi="宋体"/>
          <w:color w:val="000000"/>
          <w:sz w:val="24"/>
          <w:lang w:eastAsia="zh-CN"/>
        </w:rPr>
        <w:t>截止到</w:t>
      </w:r>
      <w:r>
        <w:rPr>
          <w:rFonts w:hint="eastAsia" w:ascii="宋体" w:hAnsi="宋体"/>
          <w:color w:val="000000"/>
          <w:sz w:val="24"/>
          <w:lang w:val="en-US" w:eastAsia="zh-CN"/>
        </w:rPr>
        <w:t>2020-2021学年第一学期12周前，</w:t>
      </w:r>
      <w:r>
        <w:rPr>
          <w:rFonts w:hint="eastAsia" w:ascii="宋体" w:hAnsi="宋体" w:cs="宋体"/>
          <w:kern w:val="0"/>
          <w:sz w:val="24"/>
        </w:rPr>
        <w:t>须至少经过两个学期的建设和完善，取得实质性改革成效，在同类课程中具有鲜明特色、良好的教学效果，并承诺入选后将持续改进。每门课程只能从</w:t>
      </w:r>
      <w:r>
        <w:rPr>
          <w:rFonts w:ascii="宋体" w:hAnsi="宋体"/>
          <w:kern w:val="0"/>
          <w:sz w:val="24"/>
        </w:rPr>
        <w:t>“</w:t>
      </w:r>
      <w:r>
        <w:rPr>
          <w:rFonts w:hint="eastAsia" w:ascii="宋体" w:hAnsi="宋体" w:cs="宋体"/>
          <w:kern w:val="0"/>
          <w:sz w:val="24"/>
        </w:rPr>
        <w:t>线下一流课程</w:t>
      </w:r>
      <w:r>
        <w:rPr>
          <w:rFonts w:ascii="宋体" w:hAnsi="宋体"/>
          <w:kern w:val="0"/>
          <w:sz w:val="24"/>
        </w:rPr>
        <w:t>”“</w:t>
      </w:r>
      <w:r>
        <w:rPr>
          <w:rFonts w:hint="eastAsia" w:ascii="宋体" w:hAnsi="宋体" w:cs="宋体"/>
          <w:kern w:val="0"/>
          <w:sz w:val="24"/>
        </w:rPr>
        <w:t>线上线下混合式一流课程</w:t>
      </w:r>
      <w:r>
        <w:rPr>
          <w:rFonts w:ascii="宋体" w:hAnsi="宋体"/>
          <w:kern w:val="0"/>
          <w:sz w:val="24"/>
        </w:rPr>
        <w:t>”“</w:t>
      </w:r>
      <w:r>
        <w:rPr>
          <w:rFonts w:hint="eastAsia" w:ascii="宋体" w:hAnsi="宋体" w:cs="宋体"/>
          <w:kern w:val="0"/>
          <w:sz w:val="24"/>
        </w:rPr>
        <w:t>社会实践一流课程</w:t>
      </w:r>
      <w:r>
        <w:rPr>
          <w:rFonts w:ascii="宋体" w:hAnsi="宋体"/>
          <w:kern w:val="0"/>
          <w:sz w:val="24"/>
        </w:rPr>
        <w:t>”</w:t>
      </w:r>
      <w:r>
        <w:rPr>
          <w:rFonts w:hint="eastAsia" w:ascii="宋体" w:hAnsi="宋体" w:cs="宋体"/>
          <w:kern w:val="0"/>
          <w:sz w:val="24"/>
        </w:rPr>
        <w:t>中选择一类进行申报。</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（二）课程内容及申报材料无危害国家安全、涉密及其他不适宜公开传播的内容，思想导向正确，不存在思想性、</w:t>
      </w:r>
      <w:r>
        <w:rPr>
          <w:rFonts w:ascii="宋体" w:hAnsi="宋体" w:cs="宋体"/>
          <w:kern w:val="0"/>
          <w:sz w:val="24"/>
        </w:rPr>
        <w:t>科学性</w:t>
      </w:r>
      <w:r>
        <w:rPr>
          <w:rFonts w:hint="eastAsia" w:ascii="宋体" w:hAnsi="宋体" w:cs="宋体"/>
          <w:kern w:val="0"/>
          <w:sz w:val="24"/>
        </w:rPr>
        <w:t>问题。</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（三）</w:t>
      </w:r>
      <w:r>
        <w:rPr>
          <w:rFonts w:hint="eastAsia" w:ascii="宋体" w:hAnsi="宋体"/>
          <w:color w:val="000000"/>
          <w:sz w:val="24"/>
        </w:rPr>
        <w:t>课程负责人须为我校</w:t>
      </w:r>
      <w:r>
        <w:rPr>
          <w:rFonts w:hint="eastAsia" w:ascii="宋体" w:hAnsi="宋体"/>
          <w:color w:val="000000"/>
          <w:sz w:val="24"/>
          <w:lang w:eastAsia="zh-CN"/>
        </w:rPr>
        <w:t>全体自聘教职工（即行政关系在三江学院且与三江学院签署正式劳动合同的人员），</w:t>
      </w:r>
      <w:r>
        <w:rPr>
          <w:rFonts w:hint="eastAsia" w:ascii="宋体" w:hAnsi="宋体"/>
          <w:color w:val="000000"/>
          <w:sz w:val="24"/>
        </w:rPr>
        <w:t>具有丰富的教学经验和较高学术造诣。主讲教师师德好，教学能力强，积极投身教学改革，能够运用新技术提高教学效率，提升教学质量。</w:t>
      </w:r>
      <w:r>
        <w:rPr>
          <w:rFonts w:hint="eastAsia" w:ascii="宋体" w:hAnsi="宋体" w:cs="宋体"/>
          <w:kern w:val="0"/>
          <w:sz w:val="24"/>
        </w:rPr>
        <w:t>课程团队负责人及成员遵纪守法，无违法违纪行为，不存在师德师风问题、学术不端等问题，五年内未出现过重大教学事故。</w:t>
      </w:r>
    </w:p>
    <w:p>
      <w:pPr>
        <w:widowControl/>
        <w:spacing w:line="500" w:lineRule="exact"/>
        <w:ind w:firstLine="482" w:firstLineChars="200"/>
        <w:rPr>
          <w:rFonts w:ascii="宋体" w:hAnsi="宋体" w:cs="宋体"/>
          <w:kern w:val="0"/>
          <w:sz w:val="24"/>
        </w:rPr>
      </w:pPr>
      <w:r>
        <w:rPr>
          <w:rFonts w:hint="eastAsia" w:ascii="宋体" w:hAnsi="宋体" w:cs="宋体"/>
          <w:b/>
          <w:bCs/>
          <w:kern w:val="0"/>
          <w:sz w:val="24"/>
        </w:rPr>
        <w:t>五、工作程序</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（一）各教学</w:t>
      </w:r>
      <w:r>
        <w:rPr>
          <w:rFonts w:ascii="宋体" w:hAnsi="宋体" w:cs="宋体"/>
          <w:kern w:val="0"/>
          <w:sz w:val="24"/>
        </w:rPr>
        <w:t>单位</w:t>
      </w:r>
      <w:r>
        <w:rPr>
          <w:rFonts w:hint="eastAsia" w:ascii="宋体" w:hAnsi="宋体" w:cs="宋体"/>
          <w:kern w:val="0"/>
          <w:sz w:val="24"/>
        </w:rPr>
        <w:t>认真学习《教育部关于一流本科课程建设的实施意见》(附件1)的有关要求，开展各类课程的申报推荐工作。课程负责人按照文件</w:t>
      </w:r>
      <w:r>
        <w:rPr>
          <w:rFonts w:ascii="宋体" w:hAnsi="宋体" w:cs="宋体"/>
          <w:kern w:val="0"/>
          <w:sz w:val="24"/>
        </w:rPr>
        <w:t>的</w:t>
      </w:r>
      <w:r>
        <w:rPr>
          <w:rFonts w:hint="eastAsia" w:ascii="宋体" w:hAnsi="宋体" w:cs="宋体"/>
          <w:kern w:val="0"/>
          <w:sz w:val="24"/>
        </w:rPr>
        <w:t>有关要求，提交《校级一流本科课程申报书》（附件2）和附件材料（所需提供附件材料及文件要求详见</w:t>
      </w:r>
      <w:r>
        <w:rPr>
          <w:rFonts w:hint="eastAsia" w:ascii="宋体" w:hAnsi="宋体" w:cs="宋体"/>
          <w:b/>
          <w:kern w:val="0"/>
          <w:sz w:val="24"/>
        </w:rPr>
        <w:t>申报书</w:t>
      </w:r>
      <w:r>
        <w:rPr>
          <w:rFonts w:ascii="宋体" w:hAnsi="宋体"/>
          <w:b/>
          <w:kern w:val="0"/>
          <w:sz w:val="24"/>
        </w:rPr>
        <w:t>“</w:t>
      </w:r>
      <w:r>
        <w:rPr>
          <w:rFonts w:hint="eastAsia" w:ascii="宋体" w:hAnsi="宋体" w:cs="宋体"/>
          <w:b/>
          <w:kern w:val="0"/>
          <w:sz w:val="24"/>
        </w:rPr>
        <w:t>附件材料清单</w:t>
      </w:r>
      <w:r>
        <w:rPr>
          <w:rFonts w:ascii="宋体" w:hAnsi="宋体"/>
          <w:b/>
          <w:kern w:val="0"/>
          <w:sz w:val="24"/>
        </w:rPr>
        <w:t>”</w:t>
      </w:r>
      <w:r>
        <w:rPr>
          <w:rFonts w:hint="eastAsia" w:ascii="宋体" w:hAnsi="宋体"/>
          <w:b/>
          <w:kern w:val="0"/>
          <w:sz w:val="24"/>
          <w:lang w:eastAsia="zh-CN"/>
        </w:rPr>
        <w:t>，相应模板详见附件</w:t>
      </w:r>
      <w:r>
        <w:rPr>
          <w:rFonts w:hint="eastAsia" w:ascii="宋体" w:hAnsi="宋体"/>
          <w:b/>
          <w:kern w:val="0"/>
          <w:sz w:val="24"/>
          <w:lang w:val="en-US" w:eastAsia="zh-CN"/>
        </w:rPr>
        <w:t>3</w:t>
      </w:r>
      <w:r>
        <w:rPr>
          <w:rFonts w:hint="eastAsia" w:ascii="宋体" w:hAnsi="宋体" w:cs="宋体"/>
          <w:kern w:val="0"/>
          <w:sz w:val="24"/>
        </w:rPr>
        <w:t>）</w:t>
      </w:r>
      <w:r>
        <w:rPr>
          <w:rFonts w:hint="eastAsia" w:ascii="宋体" w:hAnsi="宋体" w:cs="宋体"/>
          <w:kern w:val="0"/>
          <w:sz w:val="24"/>
          <w:lang w:eastAsia="zh-CN"/>
        </w:rPr>
        <w:t>，</w:t>
      </w:r>
      <w:r>
        <w:rPr>
          <w:rFonts w:hint="eastAsia" w:ascii="宋体" w:hAnsi="宋体" w:cs="宋体"/>
          <w:kern w:val="0"/>
          <w:sz w:val="24"/>
        </w:rPr>
        <w:t>纸质版一式</w:t>
      </w:r>
      <w:r>
        <w:rPr>
          <w:rFonts w:hint="eastAsia" w:ascii="宋体" w:hAnsi="宋体" w:cs="宋体"/>
          <w:kern w:val="0"/>
          <w:sz w:val="24"/>
          <w:lang w:eastAsia="zh-CN"/>
        </w:rPr>
        <w:t>两</w:t>
      </w:r>
      <w:r>
        <w:rPr>
          <w:rFonts w:hint="eastAsia" w:ascii="宋体" w:hAnsi="宋体" w:cs="宋体"/>
          <w:kern w:val="0"/>
          <w:sz w:val="24"/>
        </w:rPr>
        <w:t>份和电子版到所在</w:t>
      </w:r>
      <w:r>
        <w:rPr>
          <w:rFonts w:hint="eastAsia" w:ascii="宋体" w:hAnsi="宋体" w:cs="宋体"/>
          <w:kern w:val="0"/>
          <w:sz w:val="24"/>
          <w:lang w:eastAsia="zh-CN"/>
        </w:rPr>
        <w:t>教学单位</w:t>
      </w:r>
      <w:r>
        <w:rPr>
          <w:rFonts w:hint="eastAsia" w:ascii="宋体" w:hAnsi="宋体" w:cs="宋体"/>
          <w:kern w:val="0"/>
          <w:sz w:val="24"/>
        </w:rPr>
        <w:t>。</w:t>
      </w:r>
    </w:p>
    <w:p>
      <w:pPr>
        <w:widowControl/>
        <w:spacing w:line="500" w:lineRule="exact"/>
        <w:ind w:firstLine="480" w:firstLineChars="200"/>
        <w:rPr>
          <w:rFonts w:hint="eastAsia" w:ascii="宋体" w:hAnsi="宋体" w:eastAsia="宋体" w:cs="宋体"/>
          <w:b/>
          <w:bCs/>
          <w:kern w:val="0"/>
          <w:sz w:val="24"/>
          <w:szCs w:val="24"/>
          <w:lang w:val="en-US" w:eastAsia="zh-CN"/>
        </w:rPr>
      </w:pPr>
      <w:r>
        <w:rPr>
          <w:rFonts w:ascii="宋体" w:hAnsi="宋体"/>
          <w:bCs/>
          <w:kern w:val="0"/>
          <w:sz w:val="24"/>
        </w:rPr>
        <w:t>（二）</w:t>
      </w:r>
      <w:r>
        <w:rPr>
          <w:rFonts w:hint="eastAsia" w:ascii="宋体" w:hAnsi="宋体"/>
          <w:bCs/>
          <w:kern w:val="0"/>
          <w:sz w:val="24"/>
          <w:lang w:eastAsia="zh-CN"/>
        </w:rPr>
        <w:t>各教学单位</w:t>
      </w:r>
      <w:r>
        <w:rPr>
          <w:rFonts w:hint="eastAsia" w:ascii="宋体" w:hAnsi="宋体" w:cs="宋体"/>
          <w:kern w:val="0"/>
          <w:sz w:val="24"/>
        </w:rPr>
        <w:t>审核</w:t>
      </w:r>
      <w:r>
        <w:rPr>
          <w:rFonts w:hint="eastAsia" w:ascii="宋体" w:hAnsi="宋体" w:cs="宋体"/>
          <w:kern w:val="0"/>
          <w:sz w:val="24"/>
          <w:lang w:eastAsia="zh-CN"/>
        </w:rPr>
        <w:t>《校</w:t>
      </w:r>
      <w:r>
        <w:rPr>
          <w:rFonts w:hint="eastAsia" w:ascii="宋体" w:hAnsi="宋体" w:cs="宋体"/>
          <w:kern w:val="0"/>
          <w:sz w:val="24"/>
        </w:rPr>
        <w:t>级一流本科课程申报书》</w:t>
      </w:r>
      <w:r>
        <w:rPr>
          <w:rFonts w:hint="eastAsia" w:ascii="宋体" w:hAnsi="宋体" w:cs="宋体"/>
          <w:kern w:val="0"/>
          <w:sz w:val="24"/>
          <w:lang w:eastAsia="zh-CN"/>
        </w:rPr>
        <w:t>、申报书</w:t>
      </w:r>
      <w:r>
        <w:rPr>
          <w:rFonts w:hint="eastAsia" w:ascii="宋体" w:hAnsi="宋体" w:cs="宋体"/>
          <w:kern w:val="0"/>
          <w:sz w:val="24"/>
        </w:rPr>
        <w:t>附件材料</w:t>
      </w:r>
      <w:r>
        <w:rPr>
          <w:rFonts w:hint="eastAsia" w:ascii="宋体" w:hAnsi="宋体" w:cs="宋体"/>
          <w:kern w:val="0"/>
          <w:sz w:val="24"/>
          <w:lang w:eastAsia="zh-CN"/>
        </w:rPr>
        <w:t>清单所有材料并统一填写附件</w:t>
      </w:r>
      <w:r>
        <w:rPr>
          <w:rFonts w:hint="eastAsia" w:ascii="宋体" w:hAnsi="宋体" w:cs="宋体"/>
          <w:kern w:val="0"/>
          <w:sz w:val="24"/>
          <w:lang w:val="en-US" w:eastAsia="zh-CN"/>
        </w:rPr>
        <w:t>4</w:t>
      </w:r>
      <w:r>
        <w:rPr>
          <w:rFonts w:hint="eastAsia" w:ascii="宋体" w:hAnsi="宋体"/>
          <w:kern w:val="0"/>
          <w:sz w:val="24"/>
          <w:lang w:eastAsia="zh-CN"/>
        </w:rPr>
        <w:t>（</w:t>
      </w:r>
      <w:r>
        <w:rPr>
          <w:rFonts w:hint="eastAsia" w:ascii="宋体" w:hAnsi="宋体"/>
          <w:b/>
          <w:bCs/>
          <w:kern w:val="0"/>
          <w:sz w:val="24"/>
          <w:lang w:eastAsia="zh-CN"/>
        </w:rPr>
        <w:t>以上材料均需提供纸质材料一式两份</w:t>
      </w:r>
      <w:r>
        <w:rPr>
          <w:rFonts w:hint="eastAsia" w:ascii="宋体" w:hAnsi="宋体"/>
          <w:kern w:val="0"/>
          <w:sz w:val="24"/>
          <w:lang w:eastAsia="zh-CN"/>
        </w:rPr>
        <w:t>）</w:t>
      </w:r>
      <w:r>
        <w:rPr>
          <w:rFonts w:hint="eastAsia" w:ascii="宋体" w:hAnsi="宋体" w:cs="宋体"/>
          <w:kern w:val="0"/>
          <w:sz w:val="24"/>
        </w:rPr>
        <w:t>，于</w:t>
      </w:r>
      <w:r>
        <w:rPr>
          <w:rFonts w:hint="eastAsia" w:ascii="宋体" w:hAnsi="宋体" w:cs="宋体"/>
          <w:b/>
          <w:bCs/>
          <w:kern w:val="0"/>
          <w:sz w:val="24"/>
          <w:lang w:val="en-US" w:eastAsia="zh-CN"/>
        </w:rPr>
        <w:t>7</w:t>
      </w:r>
      <w:r>
        <w:rPr>
          <w:rFonts w:hint="eastAsia" w:ascii="宋体" w:hAnsi="宋体" w:cs="宋体"/>
          <w:b/>
          <w:bCs/>
          <w:kern w:val="0"/>
          <w:sz w:val="24"/>
        </w:rPr>
        <w:t>月</w:t>
      </w:r>
      <w:r>
        <w:rPr>
          <w:rFonts w:hint="eastAsia" w:ascii="宋体" w:hAnsi="宋体" w:cs="宋体"/>
          <w:b/>
          <w:bCs/>
          <w:kern w:val="0"/>
          <w:sz w:val="24"/>
          <w:lang w:val="en-US" w:eastAsia="zh-CN"/>
        </w:rPr>
        <w:t>5</w:t>
      </w:r>
      <w:r>
        <w:rPr>
          <w:rFonts w:hint="eastAsia" w:ascii="宋体" w:hAnsi="宋体" w:cs="宋体"/>
          <w:b/>
          <w:bCs/>
          <w:kern w:val="0"/>
          <w:sz w:val="24"/>
        </w:rPr>
        <w:t>日前</w:t>
      </w:r>
      <w:r>
        <w:rPr>
          <w:rFonts w:hint="eastAsia" w:ascii="宋体" w:hAnsi="宋体" w:cs="宋体"/>
          <w:kern w:val="0"/>
          <w:sz w:val="24"/>
        </w:rPr>
        <w:t>报送教务处A309，电子版发送至</w:t>
      </w:r>
      <w:r>
        <w:rPr>
          <w:rFonts w:hint="eastAsia" w:ascii="宋体" w:hAnsi="宋体"/>
          <w:kern w:val="0"/>
          <w:sz w:val="24"/>
        </w:rPr>
        <w:t>联系人OA邮箱</w:t>
      </w:r>
      <w:r>
        <w:rPr>
          <w:rFonts w:hint="eastAsia" w:ascii="宋体" w:hAnsi="宋体"/>
          <w:kern w:val="0"/>
          <w:sz w:val="24"/>
          <w:lang w:eastAsia="zh-CN"/>
        </w:rPr>
        <w:t>。</w:t>
      </w:r>
    </w:p>
    <w:p>
      <w:pPr>
        <w:widowControl/>
        <w:spacing w:line="50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w:t>
      </w:r>
      <w:r>
        <w:rPr>
          <w:rFonts w:hint="eastAsia" w:ascii="宋体" w:hAnsi="宋体" w:cs="宋体"/>
          <w:kern w:val="0"/>
          <w:sz w:val="24"/>
          <w:lang w:eastAsia="zh-CN"/>
        </w:rPr>
        <w:t>三</w:t>
      </w:r>
      <w:r>
        <w:rPr>
          <w:rFonts w:hint="eastAsia" w:ascii="宋体" w:hAnsi="宋体" w:cs="宋体"/>
          <w:kern w:val="0"/>
          <w:sz w:val="24"/>
        </w:rPr>
        <w:t>）学校</w:t>
      </w:r>
      <w:r>
        <w:rPr>
          <w:rFonts w:hint="eastAsia" w:ascii="宋体" w:hAnsi="宋体" w:cs="宋体"/>
          <w:kern w:val="0"/>
          <w:sz w:val="24"/>
          <w:lang w:eastAsia="zh-CN"/>
        </w:rPr>
        <w:t>将于</w:t>
      </w:r>
      <w:r>
        <w:rPr>
          <w:rFonts w:hint="eastAsia" w:ascii="宋体" w:hAnsi="宋体" w:cs="宋体"/>
          <w:kern w:val="0"/>
          <w:sz w:val="24"/>
          <w:lang w:val="en-US" w:eastAsia="zh-CN"/>
        </w:rPr>
        <w:t>7月中旬</w:t>
      </w:r>
      <w:r>
        <w:rPr>
          <w:rFonts w:hint="eastAsia" w:ascii="宋体" w:hAnsi="宋体" w:cs="宋体"/>
          <w:kern w:val="0"/>
          <w:sz w:val="24"/>
        </w:rPr>
        <w:t>组织</w:t>
      </w:r>
      <w:r>
        <w:rPr>
          <w:rFonts w:ascii="宋体" w:hAnsi="宋体" w:cs="宋体"/>
          <w:kern w:val="0"/>
          <w:sz w:val="24"/>
        </w:rPr>
        <w:t>专家对</w:t>
      </w:r>
      <w:r>
        <w:rPr>
          <w:rFonts w:hint="eastAsia" w:ascii="宋体" w:hAnsi="宋体" w:cs="宋体"/>
          <w:kern w:val="0"/>
          <w:sz w:val="24"/>
        </w:rPr>
        <w:t>所有</w:t>
      </w:r>
      <w:r>
        <w:rPr>
          <w:rFonts w:ascii="宋体" w:hAnsi="宋体" w:cs="宋体"/>
          <w:kern w:val="0"/>
          <w:sz w:val="24"/>
        </w:rPr>
        <w:t>申报课程</w:t>
      </w:r>
      <w:r>
        <w:rPr>
          <w:rFonts w:hint="eastAsia" w:ascii="宋体" w:hAnsi="宋体" w:cs="宋体"/>
          <w:kern w:val="0"/>
          <w:sz w:val="24"/>
        </w:rPr>
        <w:t>进行</w:t>
      </w:r>
      <w:r>
        <w:rPr>
          <w:rFonts w:ascii="宋体" w:hAnsi="宋体" w:cs="宋体"/>
          <w:kern w:val="0"/>
          <w:sz w:val="24"/>
        </w:rPr>
        <w:t>评审</w:t>
      </w:r>
      <w:r>
        <w:rPr>
          <w:rFonts w:hint="eastAsia" w:ascii="宋体" w:hAnsi="宋体" w:cs="宋体"/>
          <w:kern w:val="0"/>
          <w:sz w:val="24"/>
          <w:lang w:eastAsia="zh-CN"/>
        </w:rPr>
        <w:t>，遴选课程进行培育并申报国家级一流课程。</w:t>
      </w:r>
    </w:p>
    <w:p>
      <w:pPr>
        <w:widowControl/>
        <w:spacing w:line="500" w:lineRule="exact"/>
        <w:ind w:firstLine="480" w:firstLineChars="200"/>
        <w:rPr>
          <w:rFonts w:hint="eastAsia" w:ascii="宋体" w:hAnsi="宋体" w:cs="宋体"/>
          <w:kern w:val="0"/>
          <w:sz w:val="24"/>
        </w:rPr>
      </w:pPr>
      <w:r>
        <w:rPr>
          <w:rFonts w:hint="eastAsia" w:ascii="宋体" w:hAnsi="宋体" w:cs="宋体"/>
          <w:kern w:val="0"/>
          <w:sz w:val="24"/>
          <w:lang w:eastAsia="zh-CN"/>
        </w:rPr>
        <w:t>（四）各教学单位及课程团队根据专家意见进行课程申报材料的修改与完善工作，并继续做好课程建设与培育的系列工作</w:t>
      </w:r>
      <w:r>
        <w:rPr>
          <w:rFonts w:hint="eastAsia" w:ascii="宋体" w:hAnsi="宋体" w:cs="宋体"/>
          <w:kern w:val="0"/>
          <w:sz w:val="24"/>
        </w:rPr>
        <w:t>。</w:t>
      </w:r>
    </w:p>
    <w:p>
      <w:pPr>
        <w:widowControl/>
        <w:spacing w:line="500" w:lineRule="exact"/>
        <w:ind w:firstLine="482" w:firstLineChars="200"/>
        <w:rPr>
          <w:rFonts w:hint="eastAsia" w:ascii="宋体" w:hAnsi="宋体" w:eastAsia="宋体" w:cs="宋体"/>
          <w:b/>
          <w:bCs/>
          <w:kern w:val="0"/>
          <w:sz w:val="24"/>
          <w:lang w:eastAsia="zh-CN"/>
        </w:rPr>
      </w:pPr>
      <w:r>
        <w:rPr>
          <w:rFonts w:hint="eastAsia" w:ascii="宋体" w:hAnsi="宋体" w:cs="宋体"/>
          <w:b/>
          <w:bCs/>
          <w:kern w:val="0"/>
          <w:sz w:val="24"/>
          <w:lang w:eastAsia="zh-CN"/>
        </w:rPr>
        <w:t>六</w:t>
      </w:r>
      <w:r>
        <w:rPr>
          <w:rFonts w:hint="eastAsia" w:ascii="宋体" w:hAnsi="宋体" w:cs="宋体"/>
          <w:b/>
          <w:bCs/>
          <w:kern w:val="0"/>
          <w:sz w:val="24"/>
        </w:rPr>
        <w:t>、</w:t>
      </w:r>
      <w:r>
        <w:rPr>
          <w:rFonts w:hint="eastAsia" w:ascii="宋体" w:hAnsi="宋体" w:cs="宋体"/>
          <w:b/>
          <w:bCs/>
          <w:kern w:val="0"/>
          <w:sz w:val="24"/>
          <w:lang w:eastAsia="zh-CN"/>
        </w:rPr>
        <w:t>联系方式</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联系人：单婷</w:t>
      </w:r>
      <w:r>
        <w:rPr>
          <w:rFonts w:hint="eastAsia" w:ascii="宋体" w:hAnsi="宋体" w:cs="宋体"/>
          <w:kern w:val="0"/>
          <w:sz w:val="24"/>
          <w:lang w:eastAsia="zh-CN"/>
        </w:rPr>
        <w:t>，许淋萍</w:t>
      </w:r>
    </w:p>
    <w:p>
      <w:pPr>
        <w:widowControl/>
        <w:spacing w:line="500" w:lineRule="exact"/>
        <w:ind w:firstLine="480" w:firstLineChars="200"/>
        <w:rPr>
          <w:rFonts w:hint="eastAsia" w:ascii="宋体" w:hAnsi="宋体" w:eastAsia="宋体" w:cs="宋体"/>
          <w:kern w:val="0"/>
          <w:sz w:val="24"/>
          <w:lang w:val="en-US" w:eastAsia="zh-CN"/>
        </w:rPr>
      </w:pPr>
      <w:r>
        <w:rPr>
          <w:rFonts w:hint="eastAsia" w:ascii="宋体" w:hAnsi="宋体" w:cs="宋体"/>
          <w:kern w:val="0"/>
          <w:sz w:val="24"/>
        </w:rPr>
        <w:t>联系电话：</w:t>
      </w:r>
      <w:r>
        <w:rPr>
          <w:rFonts w:ascii="宋体" w:hAnsi="宋体"/>
          <w:kern w:val="0"/>
          <w:sz w:val="24"/>
        </w:rPr>
        <w:t>4925</w:t>
      </w:r>
      <w:r>
        <w:rPr>
          <w:rFonts w:hint="eastAsia" w:ascii="宋体" w:hAnsi="宋体"/>
          <w:kern w:val="0"/>
          <w:sz w:val="24"/>
          <w:lang w:eastAsia="zh-CN"/>
        </w:rPr>
        <w:t>，</w:t>
      </w:r>
      <w:r>
        <w:rPr>
          <w:rFonts w:hint="eastAsia" w:ascii="宋体" w:hAnsi="宋体" w:cs="宋体"/>
          <w:kern w:val="0"/>
          <w:sz w:val="24"/>
          <w:lang w:val="en-US" w:eastAsia="zh-CN"/>
        </w:rPr>
        <w:t>6545，</w:t>
      </w:r>
      <w:r>
        <w:rPr>
          <w:rFonts w:hint="eastAsia" w:ascii="宋体" w:hAnsi="宋体" w:cs="宋体"/>
          <w:kern w:val="0"/>
          <w:sz w:val="24"/>
        </w:rPr>
        <w:t>7625</w:t>
      </w:r>
    </w:p>
    <w:p>
      <w:pPr>
        <w:widowControl/>
        <w:spacing w:line="500" w:lineRule="exact"/>
        <w:ind w:firstLine="480" w:firstLineChars="200"/>
        <w:rPr>
          <w:rFonts w:ascii="宋体" w:hAnsi="宋体" w:cs="宋体"/>
          <w:kern w:val="0"/>
          <w:sz w:val="24"/>
        </w:rPr>
      </w:pPr>
      <w:r>
        <w:rPr>
          <w:rFonts w:hint="eastAsia" w:ascii="宋体" w:hAnsi="宋体" w:cs="宋体"/>
          <w:kern w:val="0"/>
          <w:sz w:val="24"/>
        </w:rPr>
        <w:t>办公地址：行政楼A</w:t>
      </w:r>
      <w:r>
        <w:rPr>
          <w:rFonts w:ascii="宋体" w:hAnsi="宋体"/>
          <w:kern w:val="0"/>
          <w:sz w:val="24"/>
        </w:rPr>
        <w:t>309</w:t>
      </w:r>
      <w:r>
        <w:rPr>
          <w:rFonts w:hint="eastAsia" w:ascii="宋体" w:hAnsi="宋体" w:cs="宋体"/>
          <w:kern w:val="0"/>
          <w:sz w:val="24"/>
        </w:rPr>
        <w:t>室</w:t>
      </w:r>
      <w:bookmarkStart w:id="0" w:name="_GoBack"/>
      <w:bookmarkEnd w:id="0"/>
    </w:p>
    <w:p>
      <w:pPr>
        <w:widowControl/>
        <w:spacing w:line="500" w:lineRule="exact"/>
        <w:ind w:firstLine="480" w:firstLineChars="200"/>
        <w:rPr>
          <w:rFonts w:ascii="宋体" w:hAnsi="宋体" w:cs="宋体"/>
          <w:kern w:val="0"/>
          <w:sz w:val="24"/>
        </w:rPr>
      </w:pPr>
      <w:r>
        <w:rPr>
          <w:rFonts w:hint="eastAsia" w:ascii="宋体" w:hAnsi="宋体" w:cs="宋体"/>
          <w:kern w:val="0"/>
          <w:sz w:val="24"/>
        </w:rPr>
        <w:t>附件：</w:t>
      </w:r>
      <w:r>
        <w:rPr>
          <w:rFonts w:ascii="宋体" w:hAnsi="宋体" w:cs="宋体"/>
          <w:kern w:val="0"/>
          <w:sz w:val="24"/>
        </w:rPr>
        <w:t xml:space="preserve"> </w:t>
      </w:r>
    </w:p>
    <w:p>
      <w:pPr>
        <w:widowControl/>
        <w:spacing w:line="500" w:lineRule="exact"/>
        <w:ind w:firstLine="480" w:firstLineChars="200"/>
        <w:rPr>
          <w:rFonts w:ascii="宋体" w:hAnsi="宋体" w:cs="宋体"/>
          <w:kern w:val="0"/>
          <w:sz w:val="24"/>
        </w:rPr>
      </w:pPr>
      <w:r>
        <w:rPr>
          <w:rFonts w:hint="eastAsia" w:ascii="宋体" w:hAnsi="宋体"/>
          <w:kern w:val="0"/>
          <w:sz w:val="24"/>
        </w:rPr>
        <w:t>1</w:t>
      </w:r>
      <w:r>
        <w:rPr>
          <w:rFonts w:ascii="宋体" w:hAnsi="宋体"/>
          <w:kern w:val="0"/>
          <w:sz w:val="24"/>
        </w:rPr>
        <w:t>.</w:t>
      </w:r>
      <w:r>
        <w:rPr>
          <w:rFonts w:hint="eastAsia" w:ascii="宋体" w:hAnsi="宋体"/>
          <w:kern w:val="0"/>
          <w:sz w:val="24"/>
        </w:rPr>
        <w:t>教育部关于一流本科课程建设的实施意见</w:t>
      </w:r>
    </w:p>
    <w:p>
      <w:pPr>
        <w:widowControl/>
        <w:spacing w:line="500" w:lineRule="exact"/>
        <w:ind w:firstLine="480" w:firstLineChars="200"/>
        <w:rPr>
          <w:rFonts w:hint="eastAsia" w:ascii="宋体" w:hAnsi="宋体" w:cs="宋体"/>
          <w:kern w:val="0"/>
          <w:sz w:val="24"/>
        </w:rPr>
      </w:pPr>
      <w:r>
        <w:rPr>
          <w:rFonts w:hint="eastAsia" w:ascii="宋体" w:hAnsi="宋体"/>
          <w:kern w:val="0"/>
          <w:sz w:val="24"/>
        </w:rPr>
        <w:t>2</w:t>
      </w:r>
      <w:r>
        <w:rPr>
          <w:rFonts w:ascii="宋体" w:hAnsi="宋体"/>
          <w:kern w:val="0"/>
          <w:sz w:val="24"/>
        </w:rPr>
        <w:t>.</w:t>
      </w:r>
      <w:r>
        <w:rPr>
          <w:rFonts w:hint="eastAsia" w:ascii="宋体" w:hAnsi="宋体"/>
          <w:kern w:val="0"/>
          <w:sz w:val="24"/>
        </w:rPr>
        <w:t>校</w:t>
      </w:r>
      <w:r>
        <w:rPr>
          <w:rFonts w:hint="eastAsia" w:ascii="宋体" w:hAnsi="宋体" w:cs="宋体"/>
          <w:kern w:val="0"/>
          <w:sz w:val="24"/>
        </w:rPr>
        <w:t>级一流本科课程申报书</w:t>
      </w:r>
    </w:p>
    <w:p>
      <w:pPr>
        <w:widowControl/>
        <w:spacing w:line="500" w:lineRule="exact"/>
        <w:ind w:firstLine="480" w:firstLineChars="200"/>
        <w:rPr>
          <w:rFonts w:ascii="宋体" w:hAnsi="宋体" w:cs="宋体"/>
          <w:kern w:val="0"/>
          <w:sz w:val="24"/>
        </w:rPr>
      </w:pPr>
      <w:r>
        <w:rPr>
          <w:rFonts w:hint="eastAsia" w:ascii="宋体" w:hAnsi="宋体"/>
          <w:kern w:val="0"/>
          <w:sz w:val="24"/>
        </w:rPr>
        <w:t>3</w:t>
      </w:r>
      <w:r>
        <w:rPr>
          <w:rFonts w:ascii="宋体" w:hAnsi="宋体"/>
          <w:kern w:val="0"/>
          <w:sz w:val="24"/>
        </w:rPr>
        <w:t>.</w:t>
      </w:r>
      <w:r>
        <w:rPr>
          <w:rFonts w:hint="eastAsia" w:ascii="宋体" w:hAnsi="宋体" w:cs="宋体"/>
          <w:kern w:val="0"/>
          <w:sz w:val="24"/>
        </w:rPr>
        <w:t>校级一流本科课程申报书附件材料模板</w:t>
      </w:r>
    </w:p>
    <w:p>
      <w:pPr>
        <w:widowControl/>
        <w:spacing w:line="500" w:lineRule="exact"/>
        <w:ind w:firstLine="480" w:firstLineChars="200"/>
        <w:rPr>
          <w:rFonts w:hint="eastAsia" w:ascii="宋体" w:hAnsi="宋体" w:eastAsia="宋体" w:cs="宋体"/>
          <w:kern w:val="0"/>
          <w:sz w:val="24"/>
          <w:lang w:eastAsia="zh-CN"/>
        </w:rPr>
      </w:pPr>
      <w:r>
        <w:rPr>
          <w:rFonts w:hint="eastAsia" w:ascii="宋体" w:hAnsi="宋体"/>
          <w:kern w:val="0"/>
          <w:sz w:val="24"/>
        </w:rPr>
        <w:t>4</w:t>
      </w:r>
      <w:r>
        <w:rPr>
          <w:rFonts w:ascii="宋体" w:hAnsi="宋体"/>
          <w:kern w:val="0"/>
          <w:sz w:val="24"/>
        </w:rPr>
        <w:t>.</w:t>
      </w:r>
      <w:r>
        <w:rPr>
          <w:rFonts w:hint="eastAsia" w:ascii="宋体" w:hAnsi="宋体"/>
          <w:kern w:val="0"/>
          <w:sz w:val="24"/>
        </w:rPr>
        <w:t>校</w:t>
      </w:r>
      <w:r>
        <w:rPr>
          <w:rFonts w:hint="eastAsia" w:ascii="宋体" w:hAnsi="宋体" w:cs="宋体"/>
          <w:kern w:val="0"/>
          <w:sz w:val="24"/>
        </w:rPr>
        <w:t>级一流本科课程申报推荐汇总表</w:t>
      </w:r>
    </w:p>
    <w:p>
      <w:pPr>
        <w:widowControl/>
        <w:spacing w:line="500" w:lineRule="exact"/>
        <w:ind w:firstLine="480" w:firstLineChars="200"/>
        <w:rPr>
          <w:rFonts w:hint="eastAsia" w:ascii="宋体" w:hAnsi="宋体" w:cs="宋体"/>
          <w:kern w:val="0"/>
          <w:sz w:val="24"/>
        </w:rPr>
      </w:pPr>
    </w:p>
    <w:p>
      <w:pPr>
        <w:widowControl/>
        <w:spacing w:line="500" w:lineRule="exact"/>
        <w:ind w:right="645" w:firstLine="6960" w:firstLineChars="2900"/>
        <w:rPr>
          <w:rFonts w:ascii="宋体" w:hAnsi="宋体" w:cs="宋体"/>
          <w:kern w:val="0"/>
          <w:sz w:val="24"/>
        </w:rPr>
      </w:pPr>
      <w:r>
        <w:rPr>
          <w:rFonts w:hint="eastAsia" w:ascii="宋体" w:hAnsi="宋体" w:cs="宋体"/>
          <w:kern w:val="0"/>
          <w:sz w:val="24"/>
        </w:rPr>
        <w:t>教务处</w:t>
      </w:r>
    </w:p>
    <w:p>
      <w:pPr>
        <w:spacing w:line="500" w:lineRule="exact"/>
        <w:ind w:firstLine="6240" w:firstLineChars="2600"/>
        <w:rPr>
          <w:rFonts w:eastAsia="仿宋_GB2312"/>
          <w:sz w:val="32"/>
        </w:rPr>
      </w:pPr>
      <w:r>
        <w:rPr>
          <w:rFonts w:ascii="宋体" w:hAnsi="宋体"/>
          <w:kern w:val="0"/>
          <w:sz w:val="24"/>
        </w:rPr>
        <w:t>20</w:t>
      </w:r>
      <w:r>
        <w:rPr>
          <w:rFonts w:hint="eastAsia" w:ascii="宋体" w:hAnsi="宋体"/>
          <w:kern w:val="0"/>
          <w:sz w:val="24"/>
        </w:rPr>
        <w:t>20</w:t>
      </w:r>
      <w:r>
        <w:rPr>
          <w:rFonts w:hint="eastAsia" w:ascii="宋体" w:hAnsi="宋体" w:cs="宋体"/>
          <w:kern w:val="0"/>
          <w:sz w:val="24"/>
        </w:rPr>
        <w:t>年6月1</w:t>
      </w:r>
      <w:r>
        <w:rPr>
          <w:rFonts w:hint="eastAsia" w:ascii="宋体" w:hAnsi="宋体" w:cs="宋体"/>
          <w:kern w:val="0"/>
          <w:sz w:val="24"/>
          <w:lang w:val="en-US" w:eastAsia="zh-CN"/>
        </w:rPr>
        <w:t>2</w:t>
      </w:r>
      <w:r>
        <w:rPr>
          <w:rFonts w:hint="eastAsia" w:ascii="宋体" w:hAnsi="宋体" w:cs="宋体"/>
          <w:kern w:val="0"/>
          <w:sz w:val="24"/>
        </w:rPr>
        <w:t>日</w:t>
      </w:r>
      <w:r>
        <w:rPr>
          <w:rFonts w:eastAsia="黑体"/>
          <w:sz w:val="20"/>
        </w:rPr>
        <mc:AlternateContent>
          <mc:Choice Requires="wps">
            <w:drawing>
              <wp:anchor distT="0" distB="0" distL="114300" distR="114300" simplePos="0" relativeHeight="251658240" behindDoc="0" locked="0" layoutInCell="1" allowOverlap="1">
                <wp:simplePos x="0" y="0"/>
                <wp:positionH relativeFrom="column">
                  <wp:posOffset>-47625</wp:posOffset>
                </wp:positionH>
                <wp:positionV relativeFrom="paragraph">
                  <wp:posOffset>346075</wp:posOffset>
                </wp:positionV>
                <wp:extent cx="5636895" cy="0"/>
                <wp:effectExtent l="8255" t="7620" r="12700" b="11430"/>
                <wp:wrapNone/>
                <wp:docPr id="2" name="Line 5"/>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3.75pt;margin-top:27.25pt;height:0pt;width:443.85pt;z-index:251658240;mso-width-relative:page;mso-height-relative:page;" filled="f" stroked="t" coordsize="21600,21600" o:gfxdata="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5giM9YA&#10;AAAIAQAADwAAAAAAAAABACAAAAAiAAAAZHJzL2Rvd25yZXYueG1sUEsBAhQAFAAAAAgAh07iQAL0&#10;eBavAQAAUQMAAA4AAAAAAAAAAQAgAAAAJQEAAGRycy9lMm9Eb2MueG1sUEsFBgAAAAAGAAYAWQEA&#10;AEYFAAAAAA==&#10;">
                <v:fill on="f" focussize="0,0"/>
                <v:stroke color="#000000" joinstyle="round"/>
                <v:imagedata o:title=""/>
                <o:lock v:ext="edit" aspectratio="f"/>
              </v:line>
            </w:pict>
          </mc:Fallback>
        </mc:AlternateContent>
      </w:r>
    </w:p>
    <w:p>
      <w:pPr>
        <w:pStyle w:val="3"/>
        <w:spacing w:line="520" w:lineRule="exact"/>
        <w:rPr>
          <w:rFonts w:ascii="仿宋" w:hAnsi="仿宋" w:eastAsia="仿宋"/>
          <w:sz w:val="32"/>
        </w:rPr>
      </w:pPr>
      <w:r>
        <w:rPr>
          <w:rFonts w:ascii="仿宋" w:hAnsi="仿宋" w:eastAsia="仿宋"/>
          <w:sz w:val="32"/>
          <w:szCs w:val="24"/>
        </w:rPr>
        <mc:AlternateContent>
          <mc:Choice Requires="wps">
            <w:drawing>
              <wp:anchor distT="0" distB="0" distL="114300" distR="114300" simplePos="0" relativeHeight="251658240" behindDoc="0" locked="0" layoutInCell="1" allowOverlap="1">
                <wp:simplePos x="0" y="0"/>
                <wp:positionH relativeFrom="column">
                  <wp:posOffset>-38100</wp:posOffset>
                </wp:positionH>
                <wp:positionV relativeFrom="paragraph">
                  <wp:posOffset>342265</wp:posOffset>
                </wp:positionV>
                <wp:extent cx="5636895" cy="0"/>
                <wp:effectExtent l="8255" t="9525" r="12700" b="9525"/>
                <wp:wrapNone/>
                <wp:docPr id="1" name="Line 6"/>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line">
                          <a:avLst/>
                        </a:prstGeom>
                        <a:noFill/>
                        <a:ln w="9525">
                          <a:solidFill>
                            <a:srgbClr val="000000"/>
                          </a:solidFill>
                          <a:round/>
                        </a:ln>
                      </wps:spPr>
                      <wps:bodyPr/>
                    </wps:wsp>
                  </a:graphicData>
                </a:graphic>
              </wp:anchor>
            </w:drawing>
          </mc:Choice>
          <mc:Fallback>
            <w:pict>
              <v:line id="Line 6" o:spid="_x0000_s1026" o:spt="20" style="position:absolute;left:0pt;margin-left:-3pt;margin-top:26.95pt;height:0pt;width:443.85pt;z-index:251658240;mso-width-relative:page;mso-height-relative:page;" filled="f" stroked="t" coordsize="21600,21600" o:gfxdata="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PtILYdcA&#10;AAAIAQAADwAAAAAAAAABACAAAAAiAAAAZHJzL2Rvd25yZXYueG1sUEsBAhQAFAAAAAgAh07iQPgt&#10;EumuAQAAUQMAAA4AAAAAAAAAAQAgAAAAJgEAAGRycy9lMm9Eb2MueG1sUEsFBgAAAAAGAAYAWQEA&#10;AEYFAAAAAA==&#10;">
                <v:fill on="f" focussize="0,0"/>
                <v:stroke color="#000000" joinstyle="round"/>
                <v:imagedata o:title=""/>
                <o:lock v:ext="edit" aspectratio="f"/>
              </v:line>
            </w:pict>
          </mc:Fallback>
        </mc:AlternateContent>
      </w:r>
      <w:r>
        <w:rPr>
          <w:rFonts w:hint="eastAsia" w:ascii="仿宋" w:hAnsi="仿宋" w:eastAsia="仿宋"/>
          <w:sz w:val="32"/>
          <w:szCs w:val="24"/>
        </w:rPr>
        <w:t xml:space="preserve">三江学院教务处 </w:t>
      </w:r>
      <w:r>
        <w:rPr>
          <w:rFonts w:hint="eastAsia"/>
        </w:rPr>
        <w:t xml:space="preserve">                        2020年6月1</w:t>
      </w:r>
      <w:r>
        <w:rPr>
          <w:rFonts w:hint="eastAsia"/>
          <w:lang w:val="en-US" w:eastAsia="zh-CN"/>
        </w:rPr>
        <w:t>2</w:t>
      </w:r>
      <w:r>
        <w:rPr>
          <w:rFonts w:hint="eastAsia"/>
        </w:rPr>
        <w:t>日印发</w:t>
      </w:r>
    </w:p>
    <w:sectPr>
      <w:footerReference r:id="rId3" w:type="default"/>
      <w:footerReference r:id="rId4" w:type="even"/>
      <w:pgSz w:w="11906" w:h="16838"/>
      <w:pgMar w:top="2098" w:right="1588" w:bottom="2025" w:left="1588" w:header="851" w:footer="680"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sz w:val="32"/>
      </w:rPr>
    </w:pPr>
    <w:r>
      <w:rPr>
        <w:rStyle w:val="10"/>
        <w:sz w:val="32"/>
      </w:rPr>
      <w:fldChar w:fldCharType="begin"/>
    </w:r>
    <w:r>
      <w:rPr>
        <w:rStyle w:val="10"/>
        <w:sz w:val="32"/>
      </w:rPr>
      <w:instrText xml:space="preserve">PAGE  </w:instrText>
    </w:r>
    <w:r>
      <w:rPr>
        <w:rStyle w:val="10"/>
        <w:sz w:val="32"/>
      </w:rPr>
      <w:fldChar w:fldCharType="separate"/>
    </w:r>
    <w:r>
      <w:rPr>
        <w:rStyle w:val="10"/>
        <w:sz w:val="32"/>
      </w:rPr>
      <w:t>3</w:t>
    </w:r>
    <w:r>
      <w:rPr>
        <w:rStyle w:val="10"/>
        <w:sz w:val="32"/>
      </w:rPr>
      <w:fldChar w:fldCharType="end"/>
    </w:r>
  </w:p>
  <w:p>
    <w:pPr>
      <w:pStyle w:val="6"/>
      <w:jc w:val="center"/>
      <w:rPr>
        <w:sz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E4AF9"/>
    <w:multiLevelType w:val="singleLevel"/>
    <w:tmpl w:val="2CAE4AF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E63"/>
    <w:rsid w:val="000249D4"/>
    <w:rsid w:val="0007216A"/>
    <w:rsid w:val="00092780"/>
    <w:rsid w:val="000A0937"/>
    <w:rsid w:val="000B0D2C"/>
    <w:rsid w:val="000D2090"/>
    <w:rsid w:val="00114174"/>
    <w:rsid w:val="00144235"/>
    <w:rsid w:val="0015636C"/>
    <w:rsid w:val="00184CD6"/>
    <w:rsid w:val="00190F0E"/>
    <w:rsid w:val="001A4294"/>
    <w:rsid w:val="001C56CD"/>
    <w:rsid w:val="001F31AA"/>
    <w:rsid w:val="002000B9"/>
    <w:rsid w:val="0021104A"/>
    <w:rsid w:val="002174ED"/>
    <w:rsid w:val="00245511"/>
    <w:rsid w:val="00251B46"/>
    <w:rsid w:val="00283DA4"/>
    <w:rsid w:val="00293AAC"/>
    <w:rsid w:val="002A0003"/>
    <w:rsid w:val="002F0BBA"/>
    <w:rsid w:val="002F6482"/>
    <w:rsid w:val="00307240"/>
    <w:rsid w:val="00340603"/>
    <w:rsid w:val="00352F83"/>
    <w:rsid w:val="003C3DE7"/>
    <w:rsid w:val="003F7B72"/>
    <w:rsid w:val="00471E59"/>
    <w:rsid w:val="00482E6E"/>
    <w:rsid w:val="004C019B"/>
    <w:rsid w:val="004F2FBB"/>
    <w:rsid w:val="00536A5D"/>
    <w:rsid w:val="005432E9"/>
    <w:rsid w:val="00561601"/>
    <w:rsid w:val="005A5492"/>
    <w:rsid w:val="005D6A6E"/>
    <w:rsid w:val="005F3933"/>
    <w:rsid w:val="0063308E"/>
    <w:rsid w:val="0069245A"/>
    <w:rsid w:val="006A0755"/>
    <w:rsid w:val="006D0A48"/>
    <w:rsid w:val="006D57BB"/>
    <w:rsid w:val="006D5819"/>
    <w:rsid w:val="007166DA"/>
    <w:rsid w:val="00733DC2"/>
    <w:rsid w:val="00742425"/>
    <w:rsid w:val="007600D7"/>
    <w:rsid w:val="007822D2"/>
    <w:rsid w:val="00791FD8"/>
    <w:rsid w:val="00794BAE"/>
    <w:rsid w:val="007F3518"/>
    <w:rsid w:val="00816AB4"/>
    <w:rsid w:val="00835DFD"/>
    <w:rsid w:val="0086060F"/>
    <w:rsid w:val="0087018F"/>
    <w:rsid w:val="00895777"/>
    <w:rsid w:val="008A1DE6"/>
    <w:rsid w:val="008B555C"/>
    <w:rsid w:val="008D0BD4"/>
    <w:rsid w:val="00906ACC"/>
    <w:rsid w:val="00927CF4"/>
    <w:rsid w:val="00932061"/>
    <w:rsid w:val="0097372A"/>
    <w:rsid w:val="009A36BF"/>
    <w:rsid w:val="009B7D9C"/>
    <w:rsid w:val="009C5F01"/>
    <w:rsid w:val="009D59DF"/>
    <w:rsid w:val="009E02DE"/>
    <w:rsid w:val="009E05B0"/>
    <w:rsid w:val="00A04366"/>
    <w:rsid w:val="00A24139"/>
    <w:rsid w:val="00A24A11"/>
    <w:rsid w:val="00A27E63"/>
    <w:rsid w:val="00A370D8"/>
    <w:rsid w:val="00A56889"/>
    <w:rsid w:val="00A62CF7"/>
    <w:rsid w:val="00AB3C8A"/>
    <w:rsid w:val="00AE5188"/>
    <w:rsid w:val="00B207D5"/>
    <w:rsid w:val="00B35C4F"/>
    <w:rsid w:val="00B539D8"/>
    <w:rsid w:val="00B65149"/>
    <w:rsid w:val="00B9000C"/>
    <w:rsid w:val="00B97F03"/>
    <w:rsid w:val="00BF3F9B"/>
    <w:rsid w:val="00C45907"/>
    <w:rsid w:val="00C55699"/>
    <w:rsid w:val="00CB4085"/>
    <w:rsid w:val="00CF2A93"/>
    <w:rsid w:val="00D11715"/>
    <w:rsid w:val="00D33140"/>
    <w:rsid w:val="00D36868"/>
    <w:rsid w:val="00DB6C0B"/>
    <w:rsid w:val="00DC1213"/>
    <w:rsid w:val="00DE3EF3"/>
    <w:rsid w:val="00E23879"/>
    <w:rsid w:val="00E32916"/>
    <w:rsid w:val="00E340D2"/>
    <w:rsid w:val="00E72894"/>
    <w:rsid w:val="00EA661B"/>
    <w:rsid w:val="00EB4CD1"/>
    <w:rsid w:val="00EC7A95"/>
    <w:rsid w:val="00F92328"/>
    <w:rsid w:val="00FA2371"/>
    <w:rsid w:val="0AF6227D"/>
    <w:rsid w:val="0E7F4C18"/>
    <w:rsid w:val="12A72005"/>
    <w:rsid w:val="14521A98"/>
    <w:rsid w:val="1E951CA8"/>
    <w:rsid w:val="22C72E1B"/>
    <w:rsid w:val="257020EB"/>
    <w:rsid w:val="2AF31EF3"/>
    <w:rsid w:val="378D5875"/>
    <w:rsid w:val="3A730576"/>
    <w:rsid w:val="3E6B2A43"/>
    <w:rsid w:val="408224F2"/>
    <w:rsid w:val="4281165B"/>
    <w:rsid w:val="4EC4291A"/>
    <w:rsid w:val="5A9A1E95"/>
    <w:rsid w:val="5BC052D9"/>
    <w:rsid w:val="61252B68"/>
    <w:rsid w:val="638B01AB"/>
    <w:rsid w:val="65DB1224"/>
    <w:rsid w:val="6C8C1B2A"/>
    <w:rsid w:val="712A25DF"/>
    <w:rsid w:val="72706388"/>
    <w:rsid w:val="77296589"/>
    <w:rsid w:val="7A41350F"/>
    <w:rsid w:val="7A893BF5"/>
    <w:rsid w:val="7BDD2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Salutation"/>
    <w:basedOn w:val="1"/>
    <w:next w:val="1"/>
    <w:qFormat/>
    <w:uiPriority w:val="0"/>
    <w:rPr>
      <w:sz w:val="28"/>
      <w:szCs w:val="20"/>
    </w:rPr>
  </w:style>
  <w:style w:type="paragraph" w:styleId="4">
    <w:name w:val="Date"/>
    <w:basedOn w:val="1"/>
    <w:next w:val="1"/>
    <w:qFormat/>
    <w:uiPriority w:val="0"/>
    <w:pPr>
      <w:ind w:left="100" w:leftChars="2500"/>
    </w:pPr>
  </w:style>
  <w:style w:type="paragraph" w:styleId="5">
    <w:name w:val="Balloon Text"/>
    <w:basedOn w:val="1"/>
    <w:link w:val="1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批注框文本 Char"/>
    <w:link w:val="5"/>
    <w:qFormat/>
    <w:uiPriority w:val="0"/>
    <w:rPr>
      <w:kern w:val="2"/>
      <w:sz w:val="18"/>
      <w:szCs w:val="18"/>
    </w:rPr>
  </w:style>
  <w:style w:type="character" w:customStyle="1" w:styleId="12">
    <w:name w:val="页眉 Char"/>
    <w:link w:val="7"/>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374</Words>
  <Characters>2134</Characters>
  <Lines>17</Lines>
  <Paragraphs>5</Paragraphs>
  <TotalTime>24</TotalTime>
  <ScaleCrop>false</ScaleCrop>
  <LinksUpToDate>false</LinksUpToDate>
  <CharactersWithSpaces>2503</CharactersWithSpaces>
  <Application>WPS Office_11.1.0.8796_F1E327BC-269C-435d-A152-05C5408002CA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2019-11-28T09:08:00Z</dcterms:created>
  <dc:creator>joker</dc:creator>
  <cp:lastModifiedBy>There for you</cp:lastModifiedBy>
  <cp:lastPrinted>2020-06-12T07:50:00Z</cp:lastPrinted>
  <dcterms:modified xsi:type="dcterms:W3CDTF">2020-06-12T09:10:43Z</dcterms:modified>
  <dc:title>三江学院教务处文件</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2052-11.1.0.8796</vt:lpwstr>
  </property>
</Properties>
</file>